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DD4BE">
      <w:pPr>
        <w:ind w:right="-382"/>
      </w:pPr>
    </w:p>
    <w:p w14:paraId="449B1865">
      <w:pPr>
        <w:ind w:right="-382"/>
      </w:pPr>
      <w:r>
        <w:drawing>
          <wp:inline distT="0" distB="0" distL="114300" distR="114300">
            <wp:extent cx="2838450" cy="462915"/>
            <wp:effectExtent l="0" t="0" r="635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cstate="print"/>
                    <a:stretch>
                      <a:fillRect/>
                    </a:stretch>
                  </pic:blipFill>
                  <pic:spPr>
                    <a:xfrm>
                      <a:off x="0" y="0"/>
                      <a:ext cx="2838450" cy="462915"/>
                    </a:xfrm>
                    <a:prstGeom prst="rect">
                      <a:avLst/>
                    </a:prstGeom>
                    <a:noFill/>
                    <a:ln>
                      <a:noFill/>
                    </a:ln>
                  </pic:spPr>
                </pic:pic>
              </a:graphicData>
            </a:graphic>
          </wp:inline>
        </w:drawing>
      </w:r>
    </w:p>
    <w:p w14:paraId="08044D65">
      <w:pPr>
        <w:ind w:firstLine="723" w:firstLineChars="100"/>
        <w:rPr>
          <w:rFonts w:ascii="仿宋" w:hAnsi="仿宋" w:eastAsia="仿宋"/>
          <w:b/>
          <w:color w:val="000000"/>
          <w:sz w:val="72"/>
          <w:szCs w:val="72"/>
        </w:rPr>
      </w:pPr>
      <w:r>
        <w:rPr>
          <w:rFonts w:hint="eastAsia" w:ascii="宋体" w:hAnsi="宋体" w:eastAsia="仿宋"/>
          <w:b/>
          <w:sz w:val="72"/>
          <w:szCs w:val="72"/>
        </w:rPr>
        <w:t>燎原电缆集团有限公司</w:t>
      </w:r>
    </w:p>
    <w:p w14:paraId="477806CD">
      <w:pPr>
        <w:rPr>
          <w:b/>
          <w:color w:val="000000"/>
        </w:rPr>
      </w:pPr>
    </w:p>
    <w:p w14:paraId="431B20A9">
      <w:pPr>
        <w:rPr>
          <w:rFonts w:ascii="宋体" w:hAnsi="宋体"/>
          <w:b/>
          <w:color w:val="000000"/>
          <w:sz w:val="44"/>
          <w:szCs w:val="44"/>
        </w:rPr>
      </w:pPr>
      <w:r>
        <w:rPr>
          <w:rFonts w:hint="eastAsia" w:ascii="宋体" w:hAnsi="宋体"/>
          <w:b/>
          <w:color w:val="000000"/>
          <w:sz w:val="44"/>
          <w:szCs w:val="44"/>
        </w:rPr>
        <w:t xml:space="preserve"> </w:t>
      </w:r>
    </w:p>
    <w:p w14:paraId="13EE9488">
      <w:pPr>
        <w:jc w:val="center"/>
        <w:rPr>
          <w:rFonts w:ascii="宋体" w:hAnsi="宋体"/>
          <w:b/>
          <w:color w:val="000000"/>
          <w:kern w:val="21"/>
          <w:sz w:val="72"/>
          <w:szCs w:val="72"/>
        </w:rPr>
      </w:pPr>
      <w:r>
        <w:rPr>
          <w:rFonts w:hint="eastAsia" w:ascii="宋体" w:hAnsi="宋体"/>
          <w:b/>
          <w:color w:val="000000"/>
          <w:kern w:val="21"/>
          <w:sz w:val="52"/>
          <w:szCs w:val="52"/>
          <w:lang w:eastAsia="zh-CN"/>
        </w:rPr>
        <w:t>202</w:t>
      </w:r>
      <w:r>
        <w:rPr>
          <w:rFonts w:hint="eastAsia" w:ascii="宋体" w:hAnsi="宋体"/>
          <w:b/>
          <w:color w:val="000000"/>
          <w:kern w:val="21"/>
          <w:sz w:val="52"/>
          <w:szCs w:val="52"/>
          <w:lang w:val="en-US" w:eastAsia="zh-CN"/>
        </w:rPr>
        <w:t>5</w:t>
      </w:r>
      <w:r>
        <w:rPr>
          <w:rFonts w:hint="eastAsia" w:ascii="宋体" w:hAnsi="宋体"/>
          <w:b/>
          <w:color w:val="000000"/>
          <w:kern w:val="21"/>
          <w:sz w:val="52"/>
          <w:szCs w:val="52"/>
        </w:rPr>
        <w:t>年度社会责任报告</w:t>
      </w:r>
    </w:p>
    <w:p w14:paraId="0D18BEDB">
      <w:pPr>
        <w:spacing w:line="360" w:lineRule="auto"/>
        <w:rPr>
          <w:rFonts w:ascii="宋体" w:hAnsi="宋体"/>
          <w:color w:val="000000"/>
          <w:sz w:val="24"/>
        </w:rPr>
      </w:pPr>
    </w:p>
    <w:p w14:paraId="4874F23B">
      <w:pPr>
        <w:spacing w:line="360" w:lineRule="auto"/>
        <w:rPr>
          <w:rFonts w:ascii="宋体" w:hAnsi="宋体"/>
          <w:color w:val="000000"/>
          <w:sz w:val="24"/>
        </w:rPr>
      </w:pPr>
    </w:p>
    <w:p w14:paraId="0211AA97">
      <w:pPr>
        <w:spacing w:line="360" w:lineRule="auto"/>
        <w:jc w:val="center"/>
        <w:rPr>
          <w:rFonts w:ascii="宋体" w:hAnsi="宋体"/>
          <w:color w:val="000000"/>
          <w:sz w:val="44"/>
          <w:szCs w:val="44"/>
        </w:rPr>
      </w:pPr>
      <w:r>
        <w:rPr>
          <w:rFonts w:hint="eastAsia" w:ascii="宋体" w:hAnsi="宋体" w:cs="宋体"/>
          <w:b/>
          <w:color w:val="17365D"/>
          <w:spacing w:val="56"/>
          <w:sz w:val="72"/>
          <w:szCs w:val="44"/>
        </w:rPr>
        <w:drawing>
          <wp:anchor distT="0" distB="0" distL="114935" distR="114935" simplePos="0" relativeHeight="251659264" behindDoc="0" locked="0" layoutInCell="1" allowOverlap="1">
            <wp:simplePos x="0" y="0"/>
            <wp:positionH relativeFrom="column">
              <wp:posOffset>19050</wp:posOffset>
            </wp:positionH>
            <wp:positionV relativeFrom="paragraph">
              <wp:posOffset>98425</wp:posOffset>
            </wp:positionV>
            <wp:extent cx="5867400" cy="3326130"/>
            <wp:effectExtent l="0" t="0" r="0" b="127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stretch>
                      <a:fillRect/>
                    </a:stretch>
                  </pic:blipFill>
                  <pic:spPr>
                    <a:xfrm>
                      <a:off x="0" y="0"/>
                      <a:ext cx="5867400" cy="3326130"/>
                    </a:xfrm>
                    <a:prstGeom prst="rect">
                      <a:avLst/>
                    </a:prstGeom>
                    <a:noFill/>
                    <a:ln>
                      <a:noFill/>
                    </a:ln>
                  </pic:spPr>
                </pic:pic>
              </a:graphicData>
            </a:graphic>
          </wp:anchor>
        </w:drawing>
      </w:r>
      <w:r>
        <w:rPr>
          <w:rFonts w:hint="eastAsia" w:ascii="宋体" w:hAnsi="宋体"/>
          <w:color w:val="000000"/>
          <w:sz w:val="44"/>
          <w:szCs w:val="44"/>
        </w:rPr>
        <w:t xml:space="preserve"> </w:t>
      </w:r>
    </w:p>
    <w:p w14:paraId="124BA28D">
      <w:pPr>
        <w:spacing w:line="360" w:lineRule="auto"/>
        <w:jc w:val="center"/>
        <w:rPr>
          <w:rFonts w:ascii="宋体" w:hAnsi="宋体"/>
          <w:b/>
          <w:color w:val="000000"/>
          <w:sz w:val="36"/>
          <w:szCs w:val="36"/>
        </w:rPr>
      </w:pPr>
    </w:p>
    <w:p w14:paraId="5676F650">
      <w:pPr>
        <w:spacing w:line="360" w:lineRule="auto"/>
        <w:jc w:val="center"/>
        <w:rPr>
          <w:rFonts w:ascii="宋体" w:hAnsi="宋体"/>
          <w:color w:val="000000"/>
          <w:sz w:val="44"/>
          <w:szCs w:val="44"/>
        </w:rPr>
      </w:pPr>
      <w:r>
        <w:rPr>
          <w:rFonts w:hint="eastAsia" w:ascii="宋体" w:hAnsi="宋体"/>
          <w:b/>
          <w:color w:val="000000"/>
          <w:sz w:val="36"/>
          <w:szCs w:val="36"/>
        </w:rPr>
        <w:t>二0二</w:t>
      </w:r>
      <w:r>
        <w:rPr>
          <w:rFonts w:hint="eastAsia" w:ascii="宋体" w:hAnsi="宋体"/>
          <w:b/>
          <w:color w:val="000000"/>
          <w:sz w:val="36"/>
          <w:szCs w:val="36"/>
          <w:lang w:eastAsia="zh-CN"/>
        </w:rPr>
        <w:t>六</w:t>
      </w:r>
      <w:r>
        <w:rPr>
          <w:rFonts w:hint="eastAsia" w:ascii="宋体" w:hAnsi="宋体"/>
          <w:b/>
          <w:color w:val="000000"/>
          <w:sz w:val="36"/>
          <w:szCs w:val="36"/>
        </w:rPr>
        <w:t>年三月</w:t>
      </w:r>
    </w:p>
    <w:p w14:paraId="131D5D39">
      <w:pPr>
        <w:ind w:right="-382"/>
      </w:pPr>
    </w:p>
    <w:p w14:paraId="18DF7269">
      <w:pPr>
        <w:ind w:right="-382"/>
        <w:jc w:val="center"/>
        <w:rPr>
          <w:rFonts w:ascii="宋体" w:hAnsi="宋体"/>
          <w:sz w:val="36"/>
          <w:szCs w:val="36"/>
        </w:rPr>
      </w:pPr>
    </w:p>
    <w:p w14:paraId="1D5A82C3">
      <w:r>
        <w:rPr>
          <w:rFonts w:hint="eastAsia"/>
        </w:rPr>
        <w:br w:type="page"/>
      </w:r>
    </w:p>
    <w:p w14:paraId="519B50AC">
      <w:pPr>
        <w:pStyle w:val="583"/>
        <w:numPr>
          <w:ilvl w:val="0"/>
          <w:numId w:val="0"/>
        </w:numPr>
        <w:spacing w:after="0" w:line="240" w:lineRule="auto"/>
        <w:ind w:left="431" w:right="42" w:rightChars="20"/>
        <w:rPr>
          <w:sz w:val="24"/>
        </w:rPr>
      </w:pPr>
    </w:p>
    <w:p w14:paraId="250736F9">
      <w:pPr>
        <w:pStyle w:val="583"/>
        <w:numPr>
          <w:ilvl w:val="0"/>
          <w:numId w:val="0"/>
        </w:numPr>
        <w:tabs>
          <w:tab w:val="clear" w:pos="432"/>
        </w:tabs>
        <w:ind w:right="42" w:rightChars="20"/>
      </w:pPr>
      <w:r>
        <w:rPr>
          <w:rFonts w:hint="eastAsia"/>
        </w:rPr>
        <w:t>关于本报告</w:t>
      </w:r>
    </w:p>
    <w:p w14:paraId="19B2498F">
      <w:pPr>
        <w:keepNext/>
        <w:keepLines/>
        <w:spacing w:line="566" w:lineRule="auto"/>
        <w:ind w:right="325" w:rightChars="155"/>
        <w:jc w:val="left"/>
        <w:rPr>
          <w:rFonts w:eastAsia="黑体"/>
          <w:bCs/>
          <w:sz w:val="24"/>
        </w:rPr>
      </w:pPr>
      <w:bookmarkStart w:id="0" w:name="_Toc493596484"/>
      <w:r>
        <w:rPr>
          <w:rFonts w:hint="eastAsia" w:eastAsia="黑体"/>
          <w:bCs/>
          <w:sz w:val="24"/>
        </w:rPr>
        <w:t xml:space="preserve">1 </w:t>
      </w:r>
      <w:bookmarkEnd w:id="0"/>
      <w:r>
        <w:rPr>
          <w:rFonts w:hint="eastAsia" w:eastAsia="黑体"/>
          <w:bCs/>
          <w:sz w:val="24"/>
        </w:rPr>
        <w:t>报告范围</w:t>
      </w:r>
    </w:p>
    <w:p w14:paraId="405DB302">
      <w:pPr>
        <w:spacing w:line="360" w:lineRule="auto"/>
        <w:ind w:right="325" w:rightChars="155" w:firstLine="480" w:firstLineChars="200"/>
        <w:rPr>
          <w:sz w:val="24"/>
        </w:rPr>
      </w:pPr>
      <w:r>
        <w:rPr>
          <w:rFonts w:hint="eastAsia"/>
          <w:sz w:val="24"/>
        </w:rPr>
        <w:t>本报告以燎原电缆集团有限公司为主体，披露了</w:t>
      </w:r>
      <w:r>
        <w:rPr>
          <w:rFonts w:hint="eastAsia"/>
          <w:sz w:val="24"/>
          <w:lang w:eastAsia="zh-CN"/>
        </w:rPr>
        <w:t>202</w:t>
      </w:r>
      <w:r>
        <w:rPr>
          <w:rFonts w:hint="eastAsia"/>
          <w:sz w:val="24"/>
          <w:lang w:val="en-US" w:eastAsia="zh-CN"/>
        </w:rPr>
        <w:t>5</w:t>
      </w:r>
      <w:r>
        <w:rPr>
          <w:rFonts w:hint="eastAsia"/>
          <w:sz w:val="24"/>
        </w:rPr>
        <w:t>年企业履行政治、经济、社会和生态责任方面的内容。</w:t>
      </w:r>
    </w:p>
    <w:p w14:paraId="3AE55EE6">
      <w:pPr>
        <w:keepNext/>
        <w:keepLines/>
        <w:spacing w:line="566" w:lineRule="auto"/>
        <w:ind w:right="325" w:rightChars="155"/>
        <w:jc w:val="left"/>
        <w:rPr>
          <w:rFonts w:eastAsia="黑体"/>
          <w:bCs/>
          <w:sz w:val="24"/>
        </w:rPr>
      </w:pPr>
      <w:r>
        <w:rPr>
          <w:rFonts w:hint="eastAsia" w:eastAsia="黑体"/>
          <w:bCs/>
          <w:sz w:val="24"/>
        </w:rPr>
        <w:t>2 称谓说明</w:t>
      </w:r>
    </w:p>
    <w:p w14:paraId="5CAC897B">
      <w:pPr>
        <w:spacing w:line="360" w:lineRule="auto"/>
        <w:ind w:right="325" w:rightChars="155" w:firstLine="480" w:firstLineChars="200"/>
        <w:rPr>
          <w:sz w:val="24"/>
        </w:rPr>
      </w:pPr>
      <w:r>
        <w:rPr>
          <w:rFonts w:hint="eastAsia"/>
          <w:sz w:val="24"/>
        </w:rPr>
        <w:t>为表述方便，报告把“燎原电缆集团有限公司”简称为“燎原”、“公司”。</w:t>
      </w:r>
    </w:p>
    <w:p w14:paraId="6C159F1F">
      <w:pPr>
        <w:keepNext/>
        <w:keepLines/>
        <w:spacing w:line="566" w:lineRule="auto"/>
        <w:ind w:right="325" w:rightChars="155"/>
        <w:jc w:val="left"/>
        <w:rPr>
          <w:rFonts w:eastAsia="黑体"/>
          <w:bCs/>
          <w:sz w:val="24"/>
        </w:rPr>
      </w:pPr>
      <w:bookmarkStart w:id="1" w:name="_Toc493596487"/>
      <w:r>
        <w:rPr>
          <w:rFonts w:hint="eastAsia" w:eastAsia="黑体"/>
          <w:bCs/>
          <w:sz w:val="24"/>
        </w:rPr>
        <w:t>3 报告时间</w:t>
      </w:r>
      <w:bookmarkEnd w:id="1"/>
      <w:r>
        <w:rPr>
          <w:rFonts w:hint="eastAsia" w:eastAsia="黑体"/>
          <w:bCs/>
          <w:sz w:val="24"/>
        </w:rPr>
        <w:t>和频次</w:t>
      </w:r>
    </w:p>
    <w:p w14:paraId="281C8279">
      <w:pPr>
        <w:spacing w:line="360" w:lineRule="auto"/>
        <w:ind w:right="325" w:rightChars="155" w:firstLine="480" w:firstLineChars="200"/>
        <w:rPr>
          <w:sz w:val="24"/>
        </w:rPr>
      </w:pPr>
      <w:r>
        <w:rPr>
          <w:rFonts w:hint="eastAsia"/>
          <w:sz w:val="24"/>
          <w:lang w:eastAsia="zh-CN"/>
        </w:rPr>
        <w:t>202</w:t>
      </w:r>
      <w:r>
        <w:rPr>
          <w:rFonts w:hint="eastAsia"/>
          <w:sz w:val="24"/>
          <w:lang w:val="en-US" w:eastAsia="zh-CN"/>
        </w:rPr>
        <w:t>5</w:t>
      </w:r>
      <w:r>
        <w:rPr>
          <w:rFonts w:hint="eastAsia"/>
          <w:sz w:val="24"/>
        </w:rPr>
        <w:t>年1月1日至</w:t>
      </w:r>
      <w:r>
        <w:rPr>
          <w:rFonts w:hint="eastAsia"/>
          <w:sz w:val="24"/>
          <w:lang w:eastAsia="zh-CN"/>
        </w:rPr>
        <w:t>202</w:t>
      </w:r>
      <w:r>
        <w:rPr>
          <w:rFonts w:hint="eastAsia"/>
          <w:sz w:val="24"/>
          <w:lang w:val="en-US" w:eastAsia="zh-CN"/>
        </w:rPr>
        <w:t>5</w:t>
      </w:r>
      <w:r>
        <w:rPr>
          <w:rFonts w:hint="eastAsia"/>
          <w:sz w:val="24"/>
        </w:rPr>
        <w:t>年12月31日，部分数据及内容超出上述范围。</w:t>
      </w:r>
    </w:p>
    <w:p w14:paraId="37DB79E4">
      <w:pPr>
        <w:spacing w:line="360" w:lineRule="auto"/>
        <w:ind w:right="325" w:rightChars="155" w:firstLine="480" w:firstLineChars="200"/>
        <w:rPr>
          <w:sz w:val="24"/>
        </w:rPr>
      </w:pPr>
      <w:r>
        <w:rPr>
          <w:rFonts w:hint="eastAsia"/>
          <w:sz w:val="24"/>
        </w:rPr>
        <w:t>本报告为年度报告。</w:t>
      </w:r>
    </w:p>
    <w:p w14:paraId="0B726FFF">
      <w:pPr>
        <w:keepNext/>
        <w:keepLines/>
        <w:spacing w:line="566" w:lineRule="auto"/>
        <w:ind w:right="325" w:rightChars="155"/>
        <w:jc w:val="left"/>
        <w:rPr>
          <w:rFonts w:eastAsia="黑体"/>
          <w:bCs/>
          <w:sz w:val="24"/>
        </w:rPr>
      </w:pPr>
      <w:bookmarkStart w:id="2" w:name="_Toc493596490"/>
      <w:r>
        <w:rPr>
          <w:rFonts w:hint="eastAsia" w:eastAsia="黑体"/>
          <w:bCs/>
          <w:sz w:val="24"/>
        </w:rPr>
        <w:t>4 报告</w:t>
      </w:r>
      <w:bookmarkEnd w:id="2"/>
      <w:r>
        <w:rPr>
          <w:rFonts w:hint="eastAsia" w:eastAsia="黑体"/>
          <w:bCs/>
          <w:sz w:val="24"/>
        </w:rPr>
        <w:t>发布形式</w:t>
      </w:r>
    </w:p>
    <w:p w14:paraId="7B1DE49A">
      <w:pPr>
        <w:spacing w:line="360" w:lineRule="auto"/>
        <w:ind w:right="325" w:rightChars="155" w:firstLine="480" w:firstLineChars="200"/>
        <w:rPr>
          <w:color w:val="0000FF"/>
          <w:sz w:val="24"/>
        </w:rPr>
      </w:pPr>
      <w:r>
        <w:rPr>
          <w:rFonts w:hint="eastAsia"/>
          <w:sz w:val="24"/>
        </w:rPr>
        <w:t>本报告以电子文档形式发布，</w:t>
      </w:r>
      <w:r>
        <w:rPr>
          <w:rFonts w:hint="eastAsia"/>
          <w:color w:val="0000FF"/>
          <w:sz w:val="24"/>
        </w:rPr>
        <w:t xml:space="preserve">其中电子文档可在Http://www. lydljt </w:t>
      </w:r>
      <w:r>
        <w:rPr>
          <w:color w:val="0000FF"/>
          <w:sz w:val="24"/>
        </w:rPr>
        <w:t>.com</w:t>
      </w:r>
      <w:r>
        <w:rPr>
          <w:rFonts w:hint="eastAsia"/>
          <w:color w:val="0000FF"/>
          <w:sz w:val="24"/>
        </w:rPr>
        <w:t>网站下载阅读。</w:t>
      </w:r>
    </w:p>
    <w:p w14:paraId="27F30EA6">
      <w:pPr>
        <w:spacing w:line="284" w:lineRule="auto"/>
        <w:ind w:right="325" w:rightChars="155" w:firstLine="480" w:firstLineChars="200"/>
        <w:rPr>
          <w:sz w:val="24"/>
        </w:rPr>
      </w:pPr>
    </w:p>
    <w:p w14:paraId="233AF21D">
      <w:pPr>
        <w:pStyle w:val="583"/>
        <w:numPr>
          <w:ilvl w:val="0"/>
          <w:numId w:val="0"/>
        </w:numPr>
        <w:tabs>
          <w:tab w:val="left" w:pos="3840"/>
          <w:tab w:val="center" w:pos="5090"/>
          <w:tab w:val="clear" w:pos="432"/>
        </w:tabs>
        <w:ind w:left="432" w:right="325" w:rightChars="155"/>
      </w:pPr>
      <w:r>
        <w:br w:type="page"/>
      </w:r>
    </w:p>
    <w:p w14:paraId="6A8ED131">
      <w:pPr>
        <w:pStyle w:val="583"/>
        <w:numPr>
          <w:ilvl w:val="0"/>
          <w:numId w:val="0"/>
        </w:numPr>
        <w:tabs>
          <w:tab w:val="left" w:pos="3840"/>
          <w:tab w:val="center" w:pos="5090"/>
          <w:tab w:val="clear" w:pos="432"/>
        </w:tabs>
        <w:spacing w:after="320" w:line="284" w:lineRule="auto"/>
        <w:ind w:left="431" w:right="325" w:rightChars="155"/>
      </w:pPr>
      <w:r>
        <w:rPr>
          <w:rFonts w:hint="eastAsia"/>
        </w:rPr>
        <w:t>目   录</w:t>
      </w:r>
    </w:p>
    <w:sdt>
      <w:sdtPr>
        <w:rPr>
          <w:rFonts w:ascii="宋体" w:hAnsi="宋体" w:eastAsia="华文细黑"/>
          <w:sz w:val="24"/>
          <w:u w:val="single"/>
        </w:rPr>
        <w:id w:val="147482883"/>
        <w:docPartObj>
          <w:docPartGallery w:val="Table of Contents"/>
          <w:docPartUnique/>
        </w:docPartObj>
      </w:sdtPr>
      <w:sdtEndPr>
        <w:rPr>
          <w:rFonts w:ascii="华文细黑" w:hAnsi="宋体" w:eastAsia="华文细黑"/>
          <w:b/>
          <w:sz w:val="24"/>
          <w:u w:val="single"/>
        </w:rPr>
      </w:sdtEndPr>
      <w:sdtContent>
        <w:p w14:paraId="6E0A0DEC">
          <w:pPr>
            <w:jc w:val="center"/>
          </w:pPr>
          <w:r>
            <w:rPr>
              <w:rFonts w:hint="eastAsia" w:ascii="宋体" w:hAnsi="宋体"/>
            </w:rPr>
            <w:t xml:space="preserve"> </w:t>
          </w:r>
        </w:p>
        <w:p w14:paraId="3132657D">
          <w:pPr>
            <w:pStyle w:val="586"/>
            <w:tabs>
              <w:tab w:val="right" w:leader="dot" w:pos="8924"/>
            </w:tabs>
            <w:spacing w:line="360" w:lineRule="auto"/>
            <w:rPr>
              <w:b/>
              <w:sz w:val="24"/>
              <w:szCs w:val="24"/>
            </w:rPr>
          </w:pPr>
          <w:r>
            <w:fldChar w:fldCharType="begin"/>
          </w:r>
          <w:r>
            <w:instrText xml:space="preserve">TOC \o "1-2" \h \u </w:instrText>
          </w:r>
          <w:r>
            <w:fldChar w:fldCharType="separate"/>
          </w:r>
          <w:r>
            <w:fldChar w:fldCharType="begin"/>
          </w:r>
          <w:r>
            <w:instrText xml:space="preserve"> HYPERLINK \l "_Toc19026" </w:instrText>
          </w:r>
          <w:r>
            <w:fldChar w:fldCharType="separate"/>
          </w:r>
          <w:r>
            <w:rPr>
              <w:rFonts w:asciiTheme="minorEastAsia" w:hAnsiTheme="minorEastAsia" w:eastAsiaTheme="minorEastAsia"/>
              <w:b/>
              <w:sz w:val="24"/>
              <w:szCs w:val="24"/>
            </w:rPr>
            <w:t>总经理致辞</w:t>
          </w:r>
          <w:r>
            <w:rPr>
              <w:b/>
              <w:sz w:val="24"/>
              <w:szCs w:val="24"/>
            </w:rPr>
            <w:tab/>
          </w:r>
          <w:r>
            <w:rPr>
              <w:b/>
              <w:sz w:val="24"/>
              <w:szCs w:val="24"/>
            </w:rPr>
            <w:fldChar w:fldCharType="begin"/>
          </w:r>
          <w:r>
            <w:rPr>
              <w:b/>
              <w:sz w:val="24"/>
              <w:szCs w:val="24"/>
            </w:rPr>
            <w:instrText xml:space="preserve"> PAGEREF _Toc19026 </w:instrText>
          </w:r>
          <w:r>
            <w:rPr>
              <w:b/>
              <w:sz w:val="24"/>
              <w:szCs w:val="24"/>
            </w:rPr>
            <w:fldChar w:fldCharType="separate"/>
          </w:r>
          <w:r>
            <w:rPr>
              <w:b/>
              <w:sz w:val="24"/>
              <w:szCs w:val="24"/>
            </w:rPr>
            <w:t>4</w:t>
          </w:r>
          <w:r>
            <w:rPr>
              <w:b/>
              <w:sz w:val="24"/>
              <w:szCs w:val="24"/>
            </w:rPr>
            <w:fldChar w:fldCharType="end"/>
          </w:r>
          <w:r>
            <w:rPr>
              <w:b/>
              <w:sz w:val="24"/>
              <w:szCs w:val="24"/>
            </w:rPr>
            <w:fldChar w:fldCharType="end"/>
          </w:r>
        </w:p>
        <w:p w14:paraId="59993232">
          <w:pPr>
            <w:pStyle w:val="586"/>
            <w:tabs>
              <w:tab w:val="right" w:leader="dot" w:pos="8924"/>
            </w:tabs>
            <w:spacing w:line="360" w:lineRule="auto"/>
            <w:rPr>
              <w:b/>
              <w:sz w:val="24"/>
              <w:szCs w:val="24"/>
            </w:rPr>
          </w:pPr>
          <w:r>
            <w:fldChar w:fldCharType="begin"/>
          </w:r>
          <w:r>
            <w:instrText xml:space="preserve"> HYPERLINK \l "_Toc1351" </w:instrText>
          </w:r>
          <w:r>
            <w:fldChar w:fldCharType="separate"/>
          </w:r>
          <w:r>
            <w:rPr>
              <w:rFonts w:hint="eastAsia" w:asciiTheme="majorEastAsia" w:hAnsiTheme="majorEastAsia" w:eastAsiaTheme="majorEastAsia" w:cstheme="majorEastAsia"/>
              <w:b/>
              <w:sz w:val="24"/>
              <w:szCs w:val="24"/>
            </w:rPr>
            <w:t>一、企业概况</w:t>
          </w:r>
          <w:r>
            <w:rPr>
              <w:b/>
              <w:sz w:val="24"/>
              <w:szCs w:val="24"/>
            </w:rPr>
            <w:tab/>
          </w:r>
          <w:r>
            <w:rPr>
              <w:b/>
              <w:sz w:val="24"/>
              <w:szCs w:val="24"/>
            </w:rPr>
            <w:fldChar w:fldCharType="begin"/>
          </w:r>
          <w:r>
            <w:rPr>
              <w:b/>
              <w:sz w:val="24"/>
              <w:szCs w:val="24"/>
            </w:rPr>
            <w:instrText xml:space="preserve"> PAGEREF _Toc1351 </w:instrText>
          </w:r>
          <w:r>
            <w:rPr>
              <w:b/>
              <w:sz w:val="24"/>
              <w:szCs w:val="24"/>
            </w:rPr>
            <w:fldChar w:fldCharType="separate"/>
          </w:r>
          <w:r>
            <w:rPr>
              <w:b/>
              <w:sz w:val="24"/>
              <w:szCs w:val="24"/>
            </w:rPr>
            <w:t>5</w:t>
          </w:r>
          <w:r>
            <w:rPr>
              <w:b/>
              <w:sz w:val="24"/>
              <w:szCs w:val="24"/>
            </w:rPr>
            <w:fldChar w:fldCharType="end"/>
          </w:r>
          <w:r>
            <w:rPr>
              <w:b/>
              <w:sz w:val="24"/>
              <w:szCs w:val="24"/>
            </w:rPr>
            <w:fldChar w:fldCharType="end"/>
          </w:r>
        </w:p>
        <w:p w14:paraId="6BA6826A">
          <w:pPr>
            <w:pStyle w:val="587"/>
            <w:tabs>
              <w:tab w:val="right" w:leader="dot" w:pos="8924"/>
            </w:tabs>
            <w:spacing w:line="360" w:lineRule="auto"/>
            <w:ind w:left="420"/>
            <w:rPr>
              <w:sz w:val="24"/>
              <w:szCs w:val="24"/>
            </w:rPr>
          </w:pPr>
          <w:r>
            <w:fldChar w:fldCharType="begin"/>
          </w:r>
          <w:r>
            <w:instrText xml:space="preserve"> HYPERLINK \l "_Toc4483" </w:instrText>
          </w:r>
          <w:r>
            <w:fldChar w:fldCharType="separate"/>
          </w:r>
          <w:r>
            <w:rPr>
              <w:rFonts w:hint="eastAsia" w:asciiTheme="majorEastAsia" w:hAnsiTheme="majorEastAsia" w:eastAsiaTheme="majorEastAsia" w:cstheme="majorEastAsia"/>
              <w:sz w:val="24"/>
              <w:szCs w:val="24"/>
            </w:rPr>
            <w:t>1、公司简介</w:t>
          </w:r>
          <w:r>
            <w:rPr>
              <w:sz w:val="24"/>
              <w:szCs w:val="24"/>
            </w:rPr>
            <w:tab/>
          </w:r>
          <w:r>
            <w:rPr>
              <w:sz w:val="24"/>
              <w:szCs w:val="24"/>
            </w:rPr>
            <w:fldChar w:fldCharType="begin"/>
          </w:r>
          <w:r>
            <w:rPr>
              <w:sz w:val="24"/>
              <w:szCs w:val="24"/>
            </w:rPr>
            <w:instrText xml:space="preserve"> PAGEREF _Toc4483 </w:instrText>
          </w:r>
          <w:r>
            <w:rPr>
              <w:sz w:val="24"/>
              <w:szCs w:val="24"/>
            </w:rPr>
            <w:fldChar w:fldCharType="separate"/>
          </w:r>
          <w:r>
            <w:rPr>
              <w:sz w:val="24"/>
              <w:szCs w:val="24"/>
            </w:rPr>
            <w:t>5</w:t>
          </w:r>
          <w:r>
            <w:rPr>
              <w:sz w:val="24"/>
              <w:szCs w:val="24"/>
            </w:rPr>
            <w:fldChar w:fldCharType="end"/>
          </w:r>
          <w:r>
            <w:rPr>
              <w:sz w:val="24"/>
              <w:szCs w:val="24"/>
            </w:rPr>
            <w:fldChar w:fldCharType="end"/>
          </w:r>
        </w:p>
        <w:p w14:paraId="6FE74FBC">
          <w:pPr>
            <w:pStyle w:val="587"/>
            <w:tabs>
              <w:tab w:val="right" w:leader="dot" w:pos="8924"/>
            </w:tabs>
            <w:spacing w:line="360" w:lineRule="auto"/>
            <w:ind w:left="420"/>
            <w:rPr>
              <w:sz w:val="24"/>
              <w:szCs w:val="24"/>
            </w:rPr>
          </w:pPr>
          <w:r>
            <w:fldChar w:fldCharType="begin"/>
          </w:r>
          <w:r>
            <w:instrText xml:space="preserve"> HYPERLINK \l "_Toc12746" </w:instrText>
          </w:r>
          <w:r>
            <w:fldChar w:fldCharType="separate"/>
          </w:r>
          <w:r>
            <w:rPr>
              <w:rFonts w:hint="eastAsia" w:ascii="宋体" w:hAnsi="宋体"/>
              <w:sz w:val="24"/>
              <w:szCs w:val="24"/>
            </w:rPr>
            <w:t>2、核心价值观</w:t>
          </w:r>
          <w:r>
            <w:rPr>
              <w:rFonts w:ascii="宋体" w:hAnsi="宋体"/>
              <w:sz w:val="24"/>
              <w:szCs w:val="24"/>
            </w:rPr>
            <w:t>和发展理念</w:t>
          </w:r>
          <w:r>
            <w:rPr>
              <w:sz w:val="24"/>
              <w:szCs w:val="24"/>
            </w:rPr>
            <w:tab/>
          </w:r>
          <w:r>
            <w:rPr>
              <w:sz w:val="24"/>
              <w:szCs w:val="24"/>
            </w:rPr>
            <w:fldChar w:fldCharType="begin"/>
          </w:r>
          <w:r>
            <w:rPr>
              <w:sz w:val="24"/>
              <w:szCs w:val="24"/>
            </w:rPr>
            <w:instrText xml:space="preserve"> PAGEREF _Toc12746 </w:instrText>
          </w:r>
          <w:r>
            <w:rPr>
              <w:sz w:val="24"/>
              <w:szCs w:val="24"/>
            </w:rPr>
            <w:fldChar w:fldCharType="separate"/>
          </w:r>
          <w:r>
            <w:rPr>
              <w:sz w:val="24"/>
              <w:szCs w:val="24"/>
            </w:rPr>
            <w:t>6</w:t>
          </w:r>
          <w:r>
            <w:rPr>
              <w:sz w:val="24"/>
              <w:szCs w:val="24"/>
            </w:rPr>
            <w:fldChar w:fldCharType="end"/>
          </w:r>
          <w:r>
            <w:rPr>
              <w:sz w:val="24"/>
              <w:szCs w:val="24"/>
            </w:rPr>
            <w:fldChar w:fldCharType="end"/>
          </w:r>
        </w:p>
        <w:p w14:paraId="021ABCCF">
          <w:pPr>
            <w:pStyle w:val="587"/>
            <w:tabs>
              <w:tab w:val="right" w:leader="dot" w:pos="8924"/>
            </w:tabs>
            <w:spacing w:line="360" w:lineRule="auto"/>
            <w:ind w:left="420"/>
            <w:rPr>
              <w:sz w:val="24"/>
              <w:szCs w:val="24"/>
            </w:rPr>
          </w:pPr>
          <w:r>
            <w:fldChar w:fldCharType="begin"/>
          </w:r>
          <w:r>
            <w:instrText xml:space="preserve"> HYPERLINK \l "_Toc32500" </w:instrText>
          </w:r>
          <w:r>
            <w:fldChar w:fldCharType="separate"/>
          </w:r>
          <w:r>
            <w:rPr>
              <w:rFonts w:hint="eastAsia" w:ascii="宋体" w:hAnsi="宋体"/>
              <w:sz w:val="24"/>
              <w:szCs w:val="24"/>
            </w:rPr>
            <w:t>3、社会</w:t>
          </w:r>
          <w:r>
            <w:rPr>
              <w:rFonts w:ascii="宋体" w:hAnsi="宋体"/>
              <w:sz w:val="24"/>
              <w:szCs w:val="24"/>
            </w:rPr>
            <w:t>责任</w:t>
          </w:r>
          <w:r>
            <w:rPr>
              <w:rFonts w:hint="eastAsia" w:ascii="宋体" w:hAnsi="宋体"/>
              <w:sz w:val="24"/>
              <w:szCs w:val="24"/>
            </w:rPr>
            <w:t>战略</w:t>
          </w:r>
          <w:r>
            <w:rPr>
              <w:sz w:val="24"/>
              <w:szCs w:val="24"/>
            </w:rPr>
            <w:tab/>
          </w:r>
          <w:r>
            <w:rPr>
              <w:sz w:val="24"/>
              <w:szCs w:val="24"/>
            </w:rPr>
            <w:fldChar w:fldCharType="begin"/>
          </w:r>
          <w:r>
            <w:rPr>
              <w:sz w:val="24"/>
              <w:szCs w:val="24"/>
            </w:rPr>
            <w:instrText xml:space="preserve"> PAGEREF _Toc32500 </w:instrText>
          </w:r>
          <w:r>
            <w:rPr>
              <w:sz w:val="24"/>
              <w:szCs w:val="24"/>
            </w:rPr>
            <w:fldChar w:fldCharType="separate"/>
          </w:r>
          <w:r>
            <w:rPr>
              <w:sz w:val="24"/>
              <w:szCs w:val="24"/>
            </w:rPr>
            <w:t>7</w:t>
          </w:r>
          <w:r>
            <w:rPr>
              <w:sz w:val="24"/>
              <w:szCs w:val="24"/>
            </w:rPr>
            <w:fldChar w:fldCharType="end"/>
          </w:r>
          <w:r>
            <w:rPr>
              <w:sz w:val="24"/>
              <w:szCs w:val="24"/>
            </w:rPr>
            <w:fldChar w:fldCharType="end"/>
          </w:r>
        </w:p>
        <w:p w14:paraId="7A032002">
          <w:pPr>
            <w:pStyle w:val="587"/>
            <w:tabs>
              <w:tab w:val="right" w:leader="dot" w:pos="8924"/>
            </w:tabs>
            <w:spacing w:line="360" w:lineRule="auto"/>
            <w:ind w:left="420"/>
            <w:rPr>
              <w:sz w:val="24"/>
              <w:szCs w:val="24"/>
            </w:rPr>
          </w:pPr>
          <w:r>
            <w:fldChar w:fldCharType="begin"/>
          </w:r>
          <w:r>
            <w:instrText xml:space="preserve"> HYPERLINK \l "_Toc22181" </w:instrText>
          </w:r>
          <w:r>
            <w:fldChar w:fldCharType="separate"/>
          </w:r>
          <w:r>
            <w:rPr>
              <w:rFonts w:hint="eastAsia" w:ascii="宋体" w:hAnsi="宋体"/>
              <w:sz w:val="24"/>
              <w:szCs w:val="24"/>
            </w:rPr>
            <w:t>4、利益</w:t>
          </w:r>
          <w:r>
            <w:rPr>
              <w:rFonts w:ascii="宋体" w:hAnsi="宋体"/>
              <w:sz w:val="24"/>
              <w:szCs w:val="24"/>
            </w:rPr>
            <w:t>相关方识别和沟通</w:t>
          </w:r>
          <w:r>
            <w:rPr>
              <w:sz w:val="24"/>
              <w:szCs w:val="24"/>
            </w:rPr>
            <w:tab/>
          </w:r>
          <w:r>
            <w:rPr>
              <w:sz w:val="24"/>
              <w:szCs w:val="24"/>
            </w:rPr>
            <w:fldChar w:fldCharType="begin"/>
          </w:r>
          <w:r>
            <w:rPr>
              <w:sz w:val="24"/>
              <w:szCs w:val="24"/>
            </w:rPr>
            <w:instrText xml:space="preserve"> PAGEREF _Toc22181 </w:instrText>
          </w:r>
          <w:r>
            <w:rPr>
              <w:sz w:val="24"/>
              <w:szCs w:val="24"/>
            </w:rPr>
            <w:fldChar w:fldCharType="separate"/>
          </w:r>
          <w:r>
            <w:rPr>
              <w:sz w:val="24"/>
              <w:szCs w:val="24"/>
            </w:rPr>
            <w:t>7</w:t>
          </w:r>
          <w:r>
            <w:rPr>
              <w:sz w:val="24"/>
              <w:szCs w:val="24"/>
            </w:rPr>
            <w:fldChar w:fldCharType="end"/>
          </w:r>
          <w:r>
            <w:rPr>
              <w:sz w:val="24"/>
              <w:szCs w:val="24"/>
            </w:rPr>
            <w:fldChar w:fldCharType="end"/>
          </w:r>
        </w:p>
        <w:p w14:paraId="04174D01">
          <w:pPr>
            <w:pStyle w:val="586"/>
            <w:tabs>
              <w:tab w:val="right" w:leader="dot" w:pos="8924"/>
            </w:tabs>
            <w:spacing w:line="360" w:lineRule="auto"/>
            <w:rPr>
              <w:b/>
              <w:sz w:val="24"/>
              <w:szCs w:val="24"/>
            </w:rPr>
          </w:pPr>
          <w:r>
            <w:fldChar w:fldCharType="begin"/>
          </w:r>
          <w:r>
            <w:instrText xml:space="preserve"> HYPERLINK \l "_Toc30327" </w:instrText>
          </w:r>
          <w:r>
            <w:fldChar w:fldCharType="separate"/>
          </w:r>
          <w:r>
            <w:rPr>
              <w:rFonts w:hint="eastAsia" w:ascii="宋体" w:hAnsi="宋体"/>
              <w:b/>
              <w:sz w:val="24"/>
              <w:szCs w:val="24"/>
            </w:rPr>
            <w:t>二、社会责任绩效</w:t>
          </w:r>
          <w:r>
            <w:rPr>
              <w:b/>
              <w:sz w:val="24"/>
              <w:szCs w:val="24"/>
            </w:rPr>
            <w:tab/>
          </w:r>
          <w:r>
            <w:rPr>
              <w:b/>
              <w:sz w:val="24"/>
              <w:szCs w:val="24"/>
            </w:rPr>
            <w:fldChar w:fldCharType="begin"/>
          </w:r>
          <w:r>
            <w:rPr>
              <w:b/>
              <w:sz w:val="24"/>
              <w:szCs w:val="24"/>
            </w:rPr>
            <w:instrText xml:space="preserve"> PAGEREF _Toc30327 </w:instrText>
          </w:r>
          <w:r>
            <w:rPr>
              <w:b/>
              <w:sz w:val="24"/>
              <w:szCs w:val="24"/>
            </w:rPr>
            <w:fldChar w:fldCharType="separate"/>
          </w:r>
          <w:r>
            <w:rPr>
              <w:b/>
              <w:sz w:val="24"/>
              <w:szCs w:val="24"/>
            </w:rPr>
            <w:t>8</w:t>
          </w:r>
          <w:r>
            <w:rPr>
              <w:b/>
              <w:sz w:val="24"/>
              <w:szCs w:val="24"/>
            </w:rPr>
            <w:fldChar w:fldCharType="end"/>
          </w:r>
          <w:r>
            <w:rPr>
              <w:b/>
              <w:sz w:val="24"/>
              <w:szCs w:val="24"/>
            </w:rPr>
            <w:fldChar w:fldCharType="end"/>
          </w:r>
        </w:p>
        <w:p w14:paraId="70FF2404">
          <w:pPr>
            <w:pStyle w:val="587"/>
            <w:tabs>
              <w:tab w:val="right" w:leader="dot" w:pos="8924"/>
            </w:tabs>
            <w:spacing w:line="360" w:lineRule="auto"/>
            <w:ind w:left="420"/>
            <w:rPr>
              <w:sz w:val="24"/>
              <w:szCs w:val="24"/>
            </w:rPr>
          </w:pPr>
          <w:r>
            <w:fldChar w:fldCharType="begin"/>
          </w:r>
          <w:r>
            <w:instrText xml:space="preserve"> HYPERLINK \l "_Toc13569" </w:instrText>
          </w:r>
          <w:r>
            <w:fldChar w:fldCharType="separate"/>
          </w:r>
          <w:r>
            <w:rPr>
              <w:rFonts w:hint="eastAsia" w:ascii="宋体" w:hAnsi="宋体"/>
              <w:sz w:val="24"/>
              <w:szCs w:val="24"/>
            </w:rPr>
            <w:t>1、社会责任履行情况</w:t>
          </w:r>
          <w:r>
            <w:rPr>
              <w:sz w:val="24"/>
              <w:szCs w:val="24"/>
            </w:rPr>
            <w:tab/>
          </w:r>
          <w:r>
            <w:rPr>
              <w:sz w:val="24"/>
              <w:szCs w:val="24"/>
            </w:rPr>
            <w:fldChar w:fldCharType="begin"/>
          </w:r>
          <w:r>
            <w:rPr>
              <w:sz w:val="24"/>
              <w:szCs w:val="24"/>
            </w:rPr>
            <w:instrText xml:space="preserve"> PAGEREF _Toc13569 </w:instrText>
          </w:r>
          <w:r>
            <w:rPr>
              <w:sz w:val="24"/>
              <w:szCs w:val="24"/>
            </w:rPr>
            <w:fldChar w:fldCharType="separate"/>
          </w:r>
          <w:r>
            <w:rPr>
              <w:sz w:val="24"/>
              <w:szCs w:val="24"/>
            </w:rPr>
            <w:t>8</w:t>
          </w:r>
          <w:r>
            <w:rPr>
              <w:sz w:val="24"/>
              <w:szCs w:val="24"/>
            </w:rPr>
            <w:fldChar w:fldCharType="end"/>
          </w:r>
          <w:r>
            <w:rPr>
              <w:sz w:val="24"/>
              <w:szCs w:val="24"/>
            </w:rPr>
            <w:fldChar w:fldCharType="end"/>
          </w:r>
        </w:p>
        <w:p w14:paraId="48AA842D">
          <w:pPr>
            <w:pStyle w:val="587"/>
            <w:tabs>
              <w:tab w:val="right" w:leader="dot" w:pos="8924"/>
            </w:tabs>
            <w:spacing w:line="360" w:lineRule="auto"/>
            <w:ind w:left="420"/>
            <w:rPr>
              <w:sz w:val="24"/>
              <w:szCs w:val="24"/>
            </w:rPr>
          </w:pPr>
          <w:r>
            <w:fldChar w:fldCharType="begin"/>
          </w:r>
          <w:r>
            <w:instrText xml:space="preserve"> HYPERLINK \l "_Toc10066" </w:instrText>
          </w:r>
          <w:r>
            <w:fldChar w:fldCharType="separate"/>
          </w:r>
          <w:r>
            <w:rPr>
              <w:rFonts w:hint="eastAsia" w:ascii="宋体" w:hAnsi="宋体"/>
              <w:sz w:val="24"/>
              <w:szCs w:val="24"/>
            </w:rPr>
            <w:t>2、股东权益保护</w:t>
          </w:r>
          <w:r>
            <w:rPr>
              <w:sz w:val="24"/>
              <w:szCs w:val="24"/>
            </w:rPr>
            <w:tab/>
          </w:r>
          <w:r>
            <w:rPr>
              <w:sz w:val="24"/>
              <w:szCs w:val="24"/>
            </w:rPr>
            <w:fldChar w:fldCharType="begin"/>
          </w:r>
          <w:r>
            <w:rPr>
              <w:sz w:val="24"/>
              <w:szCs w:val="24"/>
            </w:rPr>
            <w:instrText xml:space="preserve"> PAGEREF _Toc10066 </w:instrText>
          </w:r>
          <w:r>
            <w:rPr>
              <w:sz w:val="24"/>
              <w:szCs w:val="24"/>
            </w:rPr>
            <w:fldChar w:fldCharType="separate"/>
          </w:r>
          <w:r>
            <w:rPr>
              <w:sz w:val="24"/>
              <w:szCs w:val="24"/>
            </w:rPr>
            <w:t>9</w:t>
          </w:r>
          <w:r>
            <w:rPr>
              <w:sz w:val="24"/>
              <w:szCs w:val="24"/>
            </w:rPr>
            <w:fldChar w:fldCharType="end"/>
          </w:r>
          <w:r>
            <w:rPr>
              <w:sz w:val="24"/>
              <w:szCs w:val="24"/>
            </w:rPr>
            <w:fldChar w:fldCharType="end"/>
          </w:r>
        </w:p>
        <w:p w14:paraId="6B39B429">
          <w:pPr>
            <w:pStyle w:val="587"/>
            <w:tabs>
              <w:tab w:val="right" w:leader="dot" w:pos="8924"/>
            </w:tabs>
            <w:spacing w:line="360" w:lineRule="auto"/>
            <w:ind w:left="420"/>
            <w:rPr>
              <w:sz w:val="24"/>
              <w:szCs w:val="24"/>
            </w:rPr>
          </w:pPr>
          <w:r>
            <w:fldChar w:fldCharType="begin"/>
          </w:r>
          <w:r>
            <w:instrText xml:space="preserve"> HYPERLINK \l "_Toc28362" </w:instrText>
          </w:r>
          <w:r>
            <w:fldChar w:fldCharType="separate"/>
          </w:r>
          <w:r>
            <w:rPr>
              <w:rFonts w:hint="eastAsia"/>
              <w:sz w:val="24"/>
              <w:szCs w:val="24"/>
            </w:rPr>
            <w:t>3、员工权益保护</w:t>
          </w:r>
          <w:r>
            <w:rPr>
              <w:sz w:val="24"/>
              <w:szCs w:val="24"/>
            </w:rPr>
            <w:tab/>
          </w:r>
          <w:r>
            <w:rPr>
              <w:sz w:val="24"/>
              <w:szCs w:val="24"/>
            </w:rPr>
            <w:fldChar w:fldCharType="begin"/>
          </w:r>
          <w:r>
            <w:rPr>
              <w:sz w:val="24"/>
              <w:szCs w:val="24"/>
            </w:rPr>
            <w:instrText xml:space="preserve"> PAGEREF _Toc28362 </w:instrText>
          </w:r>
          <w:r>
            <w:rPr>
              <w:sz w:val="24"/>
              <w:szCs w:val="24"/>
            </w:rPr>
            <w:fldChar w:fldCharType="separate"/>
          </w:r>
          <w:r>
            <w:rPr>
              <w:sz w:val="24"/>
              <w:szCs w:val="24"/>
            </w:rPr>
            <w:t>10</w:t>
          </w:r>
          <w:r>
            <w:rPr>
              <w:sz w:val="24"/>
              <w:szCs w:val="24"/>
            </w:rPr>
            <w:fldChar w:fldCharType="end"/>
          </w:r>
          <w:r>
            <w:rPr>
              <w:sz w:val="24"/>
              <w:szCs w:val="24"/>
            </w:rPr>
            <w:fldChar w:fldCharType="end"/>
          </w:r>
        </w:p>
        <w:p w14:paraId="273C489D">
          <w:pPr>
            <w:pStyle w:val="587"/>
            <w:tabs>
              <w:tab w:val="right" w:leader="dot" w:pos="8924"/>
            </w:tabs>
            <w:spacing w:line="360" w:lineRule="auto"/>
            <w:ind w:left="420"/>
            <w:rPr>
              <w:sz w:val="24"/>
              <w:szCs w:val="24"/>
            </w:rPr>
          </w:pPr>
          <w:r>
            <w:fldChar w:fldCharType="begin"/>
          </w:r>
          <w:r>
            <w:instrText xml:space="preserve"> HYPERLINK \l "_Toc1168" </w:instrText>
          </w:r>
          <w:r>
            <w:fldChar w:fldCharType="separate"/>
          </w:r>
          <w:r>
            <w:rPr>
              <w:rFonts w:hint="eastAsia" w:ascii="宋体" w:hAnsi="宋体"/>
              <w:sz w:val="24"/>
              <w:szCs w:val="24"/>
            </w:rPr>
            <w:t>4、债权人、供应商、顾客等利益相关方的权益保护</w:t>
          </w:r>
          <w:r>
            <w:rPr>
              <w:sz w:val="24"/>
              <w:szCs w:val="24"/>
            </w:rPr>
            <w:tab/>
          </w:r>
          <w:r>
            <w:rPr>
              <w:sz w:val="24"/>
              <w:szCs w:val="24"/>
            </w:rPr>
            <w:fldChar w:fldCharType="begin"/>
          </w:r>
          <w:r>
            <w:rPr>
              <w:sz w:val="24"/>
              <w:szCs w:val="24"/>
            </w:rPr>
            <w:instrText xml:space="preserve"> PAGEREF _Toc1168 </w:instrText>
          </w:r>
          <w:r>
            <w:rPr>
              <w:sz w:val="24"/>
              <w:szCs w:val="24"/>
            </w:rPr>
            <w:fldChar w:fldCharType="separate"/>
          </w:r>
          <w:r>
            <w:rPr>
              <w:sz w:val="24"/>
              <w:szCs w:val="24"/>
            </w:rPr>
            <w:t>16</w:t>
          </w:r>
          <w:r>
            <w:rPr>
              <w:sz w:val="24"/>
              <w:szCs w:val="24"/>
            </w:rPr>
            <w:fldChar w:fldCharType="end"/>
          </w:r>
          <w:r>
            <w:rPr>
              <w:sz w:val="24"/>
              <w:szCs w:val="24"/>
            </w:rPr>
            <w:fldChar w:fldCharType="end"/>
          </w:r>
        </w:p>
        <w:p w14:paraId="3D73241F">
          <w:pPr>
            <w:pStyle w:val="587"/>
            <w:tabs>
              <w:tab w:val="right" w:leader="dot" w:pos="8924"/>
            </w:tabs>
            <w:spacing w:line="360" w:lineRule="auto"/>
            <w:ind w:left="420"/>
            <w:rPr>
              <w:sz w:val="24"/>
              <w:szCs w:val="24"/>
            </w:rPr>
          </w:pPr>
          <w:r>
            <w:fldChar w:fldCharType="begin"/>
          </w:r>
          <w:r>
            <w:instrText xml:space="preserve"> HYPERLINK \l "_Toc26720" </w:instrText>
          </w:r>
          <w:r>
            <w:fldChar w:fldCharType="separate"/>
          </w:r>
          <w:r>
            <w:rPr>
              <w:rFonts w:hint="eastAsia" w:ascii="宋体" w:hAnsi="宋体"/>
              <w:sz w:val="24"/>
              <w:szCs w:val="24"/>
            </w:rPr>
            <w:t>5、环境保护</w:t>
          </w:r>
          <w:r>
            <w:rPr>
              <w:rFonts w:ascii="宋体" w:hAnsi="宋体"/>
              <w:sz w:val="24"/>
              <w:szCs w:val="24"/>
            </w:rPr>
            <w:t>和可持续发展</w:t>
          </w:r>
          <w:r>
            <w:rPr>
              <w:sz w:val="24"/>
              <w:szCs w:val="24"/>
            </w:rPr>
            <w:tab/>
          </w:r>
          <w:r>
            <w:rPr>
              <w:sz w:val="24"/>
              <w:szCs w:val="24"/>
            </w:rPr>
            <w:fldChar w:fldCharType="begin"/>
          </w:r>
          <w:r>
            <w:rPr>
              <w:sz w:val="24"/>
              <w:szCs w:val="24"/>
            </w:rPr>
            <w:instrText xml:space="preserve"> PAGEREF _Toc26720 </w:instrText>
          </w:r>
          <w:r>
            <w:rPr>
              <w:sz w:val="24"/>
              <w:szCs w:val="24"/>
            </w:rPr>
            <w:fldChar w:fldCharType="separate"/>
          </w:r>
          <w:r>
            <w:rPr>
              <w:sz w:val="24"/>
              <w:szCs w:val="24"/>
            </w:rPr>
            <w:t>17</w:t>
          </w:r>
          <w:r>
            <w:rPr>
              <w:sz w:val="24"/>
              <w:szCs w:val="24"/>
            </w:rPr>
            <w:fldChar w:fldCharType="end"/>
          </w:r>
          <w:r>
            <w:rPr>
              <w:sz w:val="24"/>
              <w:szCs w:val="24"/>
            </w:rPr>
            <w:fldChar w:fldCharType="end"/>
          </w:r>
        </w:p>
        <w:p w14:paraId="7688BF0F">
          <w:pPr>
            <w:pStyle w:val="587"/>
            <w:tabs>
              <w:tab w:val="right" w:leader="dot" w:pos="8924"/>
            </w:tabs>
            <w:spacing w:line="360" w:lineRule="auto"/>
            <w:ind w:left="420"/>
            <w:rPr>
              <w:sz w:val="24"/>
              <w:szCs w:val="24"/>
            </w:rPr>
          </w:pPr>
          <w:r>
            <w:fldChar w:fldCharType="begin"/>
          </w:r>
          <w:r>
            <w:instrText xml:space="preserve"> HYPERLINK \l "_Toc5341" </w:instrText>
          </w:r>
          <w:r>
            <w:fldChar w:fldCharType="separate"/>
          </w:r>
          <w:r>
            <w:rPr>
              <w:rFonts w:hint="eastAsia" w:ascii="宋体" w:hAnsi="宋体"/>
              <w:sz w:val="24"/>
              <w:szCs w:val="24"/>
            </w:rPr>
            <w:t>6、道德行为</w:t>
          </w:r>
          <w:r>
            <w:rPr>
              <w:sz w:val="24"/>
              <w:szCs w:val="24"/>
            </w:rPr>
            <w:tab/>
          </w:r>
          <w:r>
            <w:rPr>
              <w:sz w:val="24"/>
              <w:szCs w:val="24"/>
            </w:rPr>
            <w:fldChar w:fldCharType="begin"/>
          </w:r>
          <w:r>
            <w:rPr>
              <w:sz w:val="24"/>
              <w:szCs w:val="24"/>
            </w:rPr>
            <w:instrText xml:space="preserve"> PAGEREF _Toc5341 </w:instrText>
          </w:r>
          <w:r>
            <w:rPr>
              <w:sz w:val="24"/>
              <w:szCs w:val="24"/>
            </w:rPr>
            <w:fldChar w:fldCharType="separate"/>
          </w:r>
          <w:r>
            <w:rPr>
              <w:sz w:val="24"/>
              <w:szCs w:val="24"/>
            </w:rPr>
            <w:t>20</w:t>
          </w:r>
          <w:r>
            <w:rPr>
              <w:sz w:val="24"/>
              <w:szCs w:val="24"/>
            </w:rPr>
            <w:fldChar w:fldCharType="end"/>
          </w:r>
          <w:r>
            <w:rPr>
              <w:sz w:val="24"/>
              <w:szCs w:val="24"/>
            </w:rPr>
            <w:fldChar w:fldCharType="end"/>
          </w:r>
        </w:p>
        <w:p w14:paraId="1EC8C123">
          <w:pPr>
            <w:pStyle w:val="587"/>
            <w:tabs>
              <w:tab w:val="right" w:leader="dot" w:pos="8924"/>
            </w:tabs>
            <w:spacing w:line="360" w:lineRule="auto"/>
            <w:ind w:left="420"/>
            <w:rPr>
              <w:sz w:val="24"/>
              <w:szCs w:val="24"/>
            </w:rPr>
          </w:pPr>
          <w:r>
            <w:fldChar w:fldCharType="begin"/>
          </w:r>
          <w:r>
            <w:instrText xml:space="preserve"> HYPERLINK \l "_Toc27687" </w:instrText>
          </w:r>
          <w:r>
            <w:fldChar w:fldCharType="separate"/>
          </w:r>
          <w:r>
            <w:rPr>
              <w:rFonts w:hint="eastAsia" w:ascii="宋体" w:hAnsi="宋体"/>
              <w:sz w:val="24"/>
              <w:szCs w:val="24"/>
            </w:rPr>
            <w:t>7、公益支持</w:t>
          </w:r>
          <w:r>
            <w:rPr>
              <w:sz w:val="24"/>
              <w:szCs w:val="24"/>
            </w:rPr>
            <w:tab/>
          </w:r>
          <w:r>
            <w:rPr>
              <w:sz w:val="24"/>
              <w:szCs w:val="24"/>
            </w:rPr>
            <w:fldChar w:fldCharType="begin"/>
          </w:r>
          <w:r>
            <w:rPr>
              <w:sz w:val="24"/>
              <w:szCs w:val="24"/>
            </w:rPr>
            <w:instrText xml:space="preserve"> PAGEREF _Toc27687 </w:instrText>
          </w:r>
          <w:r>
            <w:rPr>
              <w:sz w:val="24"/>
              <w:szCs w:val="24"/>
            </w:rPr>
            <w:fldChar w:fldCharType="separate"/>
          </w:r>
          <w:r>
            <w:rPr>
              <w:sz w:val="24"/>
              <w:szCs w:val="24"/>
            </w:rPr>
            <w:t>21</w:t>
          </w:r>
          <w:r>
            <w:rPr>
              <w:sz w:val="24"/>
              <w:szCs w:val="24"/>
            </w:rPr>
            <w:fldChar w:fldCharType="end"/>
          </w:r>
          <w:r>
            <w:rPr>
              <w:sz w:val="24"/>
              <w:szCs w:val="24"/>
            </w:rPr>
            <w:fldChar w:fldCharType="end"/>
          </w:r>
        </w:p>
        <w:p w14:paraId="62F4F2E3">
          <w:pPr>
            <w:pStyle w:val="586"/>
            <w:tabs>
              <w:tab w:val="right" w:leader="dot" w:pos="8924"/>
            </w:tabs>
            <w:spacing w:line="360" w:lineRule="auto"/>
            <w:rPr>
              <w:b/>
            </w:rPr>
          </w:pPr>
          <w:r>
            <w:fldChar w:fldCharType="begin"/>
          </w:r>
          <w:r>
            <w:instrText xml:space="preserve"> HYPERLINK \l "_Toc26986" </w:instrText>
          </w:r>
          <w:r>
            <w:fldChar w:fldCharType="separate"/>
          </w:r>
          <w:r>
            <w:rPr>
              <w:rFonts w:hint="eastAsia" w:ascii="宋体" w:hAnsi="宋体"/>
              <w:b/>
              <w:sz w:val="24"/>
              <w:szCs w:val="24"/>
            </w:rPr>
            <w:t>三  总结与展望</w:t>
          </w:r>
          <w:r>
            <w:rPr>
              <w:b/>
              <w:sz w:val="24"/>
              <w:szCs w:val="24"/>
            </w:rPr>
            <w:tab/>
          </w:r>
          <w:r>
            <w:rPr>
              <w:b/>
              <w:sz w:val="24"/>
              <w:szCs w:val="24"/>
            </w:rPr>
            <w:fldChar w:fldCharType="begin"/>
          </w:r>
          <w:r>
            <w:rPr>
              <w:b/>
              <w:sz w:val="24"/>
              <w:szCs w:val="24"/>
            </w:rPr>
            <w:instrText xml:space="preserve"> PAGEREF _Toc26986 </w:instrText>
          </w:r>
          <w:r>
            <w:rPr>
              <w:b/>
              <w:sz w:val="24"/>
              <w:szCs w:val="24"/>
            </w:rPr>
            <w:fldChar w:fldCharType="separate"/>
          </w:r>
          <w:r>
            <w:rPr>
              <w:b/>
              <w:sz w:val="24"/>
              <w:szCs w:val="24"/>
            </w:rPr>
            <w:t>22</w:t>
          </w:r>
          <w:r>
            <w:rPr>
              <w:b/>
              <w:sz w:val="24"/>
              <w:szCs w:val="24"/>
            </w:rPr>
            <w:fldChar w:fldCharType="end"/>
          </w:r>
          <w:r>
            <w:rPr>
              <w:b/>
              <w:sz w:val="24"/>
              <w:szCs w:val="24"/>
            </w:rPr>
            <w:fldChar w:fldCharType="end"/>
          </w:r>
        </w:p>
        <w:p w14:paraId="1D0F9066">
          <w:pPr>
            <w:pStyle w:val="586"/>
            <w:tabs>
              <w:tab w:val="right" w:leader="dot" w:pos="8924"/>
            </w:tabs>
            <w:spacing w:line="360" w:lineRule="auto"/>
            <w:rPr>
              <w:b/>
            </w:rPr>
          </w:pPr>
        </w:p>
        <w:p w14:paraId="2FF2FACD">
          <w:pPr>
            <w:pStyle w:val="2"/>
            <w:ind w:left="420" w:firstLine="480"/>
          </w:pPr>
          <w:r>
            <w:rPr>
              <w:b/>
            </w:rPr>
            <w:fldChar w:fldCharType="end"/>
          </w:r>
        </w:p>
      </w:sdtContent>
    </w:sdt>
    <w:p w14:paraId="0D40472E">
      <w:pPr>
        <w:rPr>
          <w:rFonts w:asciiTheme="minorEastAsia" w:hAnsiTheme="minorEastAsia" w:eastAsiaTheme="minorEastAsia"/>
          <w:b/>
          <w:color w:val="000000" w:themeColor="text1"/>
          <w:sz w:val="36"/>
          <w:szCs w:val="36"/>
        </w:rPr>
      </w:pPr>
      <w:bookmarkStart w:id="3" w:name="_Toc19026"/>
      <w:r>
        <w:rPr>
          <w:rFonts w:asciiTheme="minorEastAsia" w:hAnsiTheme="minorEastAsia" w:eastAsiaTheme="minorEastAsia"/>
          <w:b/>
          <w:color w:val="000000" w:themeColor="text1"/>
          <w:sz w:val="36"/>
          <w:szCs w:val="36"/>
        </w:rPr>
        <w:br w:type="page"/>
      </w:r>
    </w:p>
    <w:p w14:paraId="55B8E448">
      <w:pPr>
        <w:ind w:right="-58"/>
        <w:jc w:val="center"/>
        <w:outlineLvl w:val="0"/>
        <w:rPr>
          <w:rFonts w:asciiTheme="minorEastAsia" w:hAnsiTheme="minorEastAsia" w:eastAsiaTheme="minorEastAsia"/>
          <w:b/>
          <w:color w:val="000000" w:themeColor="text1"/>
          <w:sz w:val="36"/>
          <w:szCs w:val="36"/>
        </w:rPr>
      </w:pPr>
      <w:r>
        <w:rPr>
          <w:rFonts w:asciiTheme="minorEastAsia" w:hAnsiTheme="minorEastAsia" w:eastAsiaTheme="minorEastAsia"/>
          <w:b/>
          <w:color w:val="000000" w:themeColor="text1"/>
          <w:sz w:val="36"/>
          <w:szCs w:val="36"/>
        </w:rPr>
        <w:t>总经理致辞</w:t>
      </w:r>
      <w:bookmarkEnd w:id="3"/>
    </w:p>
    <w:p w14:paraId="3D311D48">
      <w:pPr>
        <w:ind w:right="-58"/>
        <w:jc w:val="center"/>
        <w:rPr>
          <w:rFonts w:asciiTheme="minorEastAsia" w:hAnsiTheme="minorEastAsia" w:eastAsiaTheme="minorEastAsia"/>
          <w:b/>
          <w:color w:val="000000" w:themeColor="text1"/>
          <w:sz w:val="36"/>
          <w:szCs w:val="36"/>
        </w:rPr>
      </w:pPr>
    </w:p>
    <w:p w14:paraId="5ACE4578">
      <w:pPr>
        <w:snapToGrid w:val="0"/>
        <w:spacing w:line="360" w:lineRule="auto"/>
        <w:ind w:right="-2" w:firstLine="480" w:firstLineChars="200"/>
        <w:rPr>
          <w:sz w:val="24"/>
        </w:rPr>
      </w:pPr>
      <w:r>
        <w:rPr>
          <w:rFonts w:hint="eastAsia" w:ascii="宋体" w:hAnsi="宋体"/>
          <w:bCs/>
          <w:sz w:val="24"/>
        </w:rPr>
        <w:t>燎原电缆集团有限公司紧紧以科学发展观为指导，强化“企业公民”意识，公司始终坚持在企业发展的同时，将承担社会责任为己任，为社会做力所能及的贡献。公司恪守道德规范，在环境保护、能源消耗、安全生产等方面严格执行法律法规，并积极推动公益事业发展，切实履行企业社会责任。</w:t>
      </w:r>
    </w:p>
    <w:p w14:paraId="0AA986D8">
      <w:pPr>
        <w:snapToGrid w:val="0"/>
        <w:spacing w:line="360" w:lineRule="auto"/>
        <w:ind w:right="325" w:rightChars="155"/>
        <w:rPr>
          <w:sz w:val="24"/>
        </w:rPr>
      </w:pPr>
      <w:r>
        <w:rPr>
          <w:rFonts w:hint="eastAsia"/>
          <w:sz w:val="24"/>
        </w:rPr>
        <w:t>我</w:t>
      </w:r>
      <w:r>
        <w:rPr>
          <w:sz w:val="24"/>
        </w:rPr>
        <w:t>们承诺：</w:t>
      </w:r>
    </w:p>
    <w:p w14:paraId="48F0C0F9">
      <w:pPr>
        <w:snapToGrid w:val="0"/>
        <w:spacing w:line="360" w:lineRule="auto"/>
        <w:ind w:right="-2" w:firstLine="480" w:firstLineChars="200"/>
        <w:rPr>
          <w:rFonts w:ascii="宋体" w:hAnsi="宋体"/>
          <w:bCs/>
          <w:sz w:val="24"/>
        </w:rPr>
      </w:pPr>
      <w:r>
        <w:rPr>
          <w:rFonts w:ascii="宋体" w:hAnsi="宋体"/>
          <w:bCs/>
          <w:sz w:val="24"/>
        </w:rPr>
        <w:t>我们将不遗余力地履行对所有利益相关方的承诺，从产品研发、原料采购、生产制造，到能源资源利用和废弃物管理，始终致力于在产品全生命周期内践行可持续发展。</w:t>
      </w:r>
    </w:p>
    <w:p w14:paraId="66654250">
      <w:pPr>
        <w:snapToGrid w:val="0"/>
        <w:spacing w:line="360" w:lineRule="auto"/>
        <w:ind w:right="-2" w:firstLine="482" w:firstLineChars="200"/>
        <w:rPr>
          <w:rFonts w:ascii="宋体" w:hAnsi="宋体"/>
          <w:b/>
          <w:bCs/>
          <w:sz w:val="24"/>
        </w:rPr>
      </w:pPr>
      <w:r>
        <w:rPr>
          <w:rFonts w:ascii="宋体" w:hAnsi="宋体"/>
          <w:b/>
          <w:bCs/>
          <w:sz w:val="24"/>
        </w:rPr>
        <w:t>遵标守法</w:t>
      </w:r>
      <w:r>
        <w:rPr>
          <w:rFonts w:hint="eastAsia" w:ascii="宋体" w:hAnsi="宋体"/>
          <w:b/>
          <w:bCs/>
          <w:sz w:val="24"/>
        </w:rPr>
        <w:t>：</w:t>
      </w:r>
      <w:r>
        <w:rPr>
          <w:rFonts w:hint="eastAsia" w:ascii="宋体" w:hAnsi="宋体"/>
          <w:bCs/>
          <w:sz w:val="24"/>
        </w:rPr>
        <w:t>遵</w:t>
      </w:r>
      <w:r>
        <w:rPr>
          <w:rFonts w:ascii="宋体" w:hAnsi="宋体"/>
          <w:bCs/>
          <w:sz w:val="24"/>
        </w:rPr>
        <w:t>守国家及地方法律法规，国家、地方及行业的相关社会责任标准。</w:t>
      </w:r>
    </w:p>
    <w:p w14:paraId="4E72C40A">
      <w:pPr>
        <w:snapToGrid w:val="0"/>
        <w:spacing w:line="360" w:lineRule="auto"/>
        <w:ind w:right="-2" w:firstLine="482" w:firstLineChars="200"/>
        <w:jc w:val="left"/>
        <w:rPr>
          <w:rFonts w:ascii="宋体" w:hAnsi="宋体"/>
          <w:bCs/>
          <w:sz w:val="24"/>
        </w:rPr>
      </w:pPr>
      <w:r>
        <w:rPr>
          <w:rFonts w:ascii="宋体" w:hAnsi="宋体"/>
          <w:b/>
          <w:bCs/>
          <w:sz w:val="24"/>
        </w:rPr>
        <w:t>职业健康</w:t>
      </w:r>
      <w:r>
        <w:rPr>
          <w:rFonts w:hint="eastAsia" w:ascii="宋体" w:hAnsi="宋体"/>
          <w:b/>
          <w:bCs/>
          <w:sz w:val="24"/>
        </w:rPr>
        <w:t>：</w:t>
      </w:r>
      <w:r>
        <w:rPr>
          <w:rFonts w:ascii="宋体" w:hAnsi="宋体"/>
          <w:bCs/>
          <w:sz w:val="24"/>
        </w:rPr>
        <w:t xml:space="preserve"> 向员工工作与生活提供健康安全的环境，关爱员工，禁止童工、反歧视、反强迫劳动、惩罚员工，尊重所有员工自愿组织并加入工会以及进行集体谈判的权力，遵守工时要求，并努力为员工提供成长空间。</w:t>
      </w:r>
      <w:r>
        <w:rPr>
          <w:rFonts w:hint="eastAsia" w:ascii="宋体" w:hAnsi="宋体"/>
          <w:bCs/>
          <w:sz w:val="24"/>
        </w:rPr>
        <w:t>组织</w:t>
      </w:r>
      <w:r>
        <w:rPr>
          <w:rFonts w:ascii="宋体" w:hAnsi="宋体"/>
          <w:bCs/>
          <w:sz w:val="24"/>
        </w:rPr>
        <w:t>职工进行体检，做好职业病防治工作。</w:t>
      </w:r>
    </w:p>
    <w:p w14:paraId="5942E81D">
      <w:pPr>
        <w:snapToGrid w:val="0"/>
        <w:spacing w:line="360" w:lineRule="auto"/>
        <w:ind w:right="-2" w:firstLine="487" w:firstLineChars="202"/>
        <w:jc w:val="left"/>
        <w:rPr>
          <w:rFonts w:ascii="宋体" w:hAnsi="宋体"/>
          <w:bCs/>
          <w:sz w:val="24"/>
        </w:rPr>
      </w:pPr>
      <w:r>
        <w:rPr>
          <w:rFonts w:ascii="宋体" w:hAnsi="宋体"/>
          <w:b/>
          <w:bCs/>
          <w:sz w:val="24"/>
        </w:rPr>
        <w:t>安全环保</w:t>
      </w:r>
      <w:r>
        <w:rPr>
          <w:rFonts w:hint="eastAsia" w:ascii="宋体" w:hAnsi="宋体"/>
          <w:b/>
          <w:bCs/>
          <w:sz w:val="24"/>
        </w:rPr>
        <w:t>：</w:t>
      </w:r>
      <w:r>
        <w:rPr>
          <w:rFonts w:ascii="宋体" w:hAnsi="宋体"/>
          <w:bCs/>
          <w:sz w:val="24"/>
        </w:rPr>
        <w:t>遵循安全第一的思想，构建安全管理体系；遵循绿色低碳的理念，防治或整治污染，节能减废，实行清洁生产审核，为社会提供安全环保的产品与服务。</w:t>
      </w:r>
    </w:p>
    <w:p w14:paraId="12B1BC55">
      <w:pPr>
        <w:snapToGrid w:val="0"/>
        <w:spacing w:line="360" w:lineRule="auto"/>
        <w:ind w:right="-2" w:firstLine="487" w:firstLineChars="202"/>
        <w:jc w:val="left"/>
        <w:rPr>
          <w:rFonts w:ascii="宋体" w:hAnsi="宋体"/>
          <w:bCs/>
          <w:sz w:val="24"/>
        </w:rPr>
      </w:pPr>
      <w:r>
        <w:rPr>
          <w:rFonts w:ascii="宋体" w:hAnsi="宋体"/>
          <w:b/>
          <w:bCs/>
          <w:sz w:val="24"/>
        </w:rPr>
        <w:t>自愿接受评估</w:t>
      </w:r>
      <w:r>
        <w:rPr>
          <w:rFonts w:hint="eastAsia" w:ascii="宋体" w:hAnsi="宋体"/>
          <w:b/>
          <w:bCs/>
          <w:sz w:val="24"/>
        </w:rPr>
        <w:t>：</w:t>
      </w:r>
      <w:r>
        <w:rPr>
          <w:rFonts w:ascii="宋体" w:hAnsi="宋体"/>
          <w:bCs/>
          <w:sz w:val="24"/>
        </w:rPr>
        <w:t>我方自愿接受第三方社会责任评估活动，如果</w:t>
      </w:r>
      <w:r>
        <w:rPr>
          <w:rFonts w:hint="eastAsia" w:ascii="宋体" w:hAnsi="宋体"/>
          <w:bCs/>
          <w:sz w:val="24"/>
        </w:rPr>
        <w:t>公司</w:t>
      </w:r>
      <w:r>
        <w:rPr>
          <w:rFonts w:ascii="宋体" w:hAnsi="宋体"/>
          <w:bCs/>
          <w:sz w:val="24"/>
        </w:rPr>
        <w:t>违反上述承诺，</w:t>
      </w:r>
      <w:r>
        <w:rPr>
          <w:rFonts w:hint="eastAsia" w:ascii="宋体" w:hAnsi="宋体"/>
          <w:bCs/>
          <w:sz w:val="24"/>
        </w:rPr>
        <w:t>公司</w:t>
      </w:r>
      <w:r>
        <w:rPr>
          <w:rFonts w:ascii="宋体" w:hAnsi="宋体"/>
          <w:bCs/>
          <w:sz w:val="24"/>
        </w:rPr>
        <w:t>愿意依法采取纠正措施，并逐步完善体系，并传达于供应商及分包商。</w:t>
      </w:r>
    </w:p>
    <w:p w14:paraId="4467A2BA">
      <w:pPr>
        <w:snapToGrid w:val="0"/>
        <w:spacing w:line="360" w:lineRule="auto"/>
        <w:ind w:right="325" w:rightChars="155" w:firstLine="484" w:firstLineChars="202"/>
        <w:jc w:val="left"/>
        <w:rPr>
          <w:rFonts w:ascii="宋体" w:hAnsi="宋体"/>
          <w:bCs/>
          <w:sz w:val="24"/>
        </w:rPr>
      </w:pPr>
    </w:p>
    <w:p w14:paraId="66E4DCC6">
      <w:pPr>
        <w:snapToGrid w:val="0"/>
        <w:spacing w:line="360" w:lineRule="auto"/>
        <w:ind w:right="325" w:rightChars="155" w:firstLine="484" w:firstLineChars="202"/>
        <w:jc w:val="left"/>
        <w:rPr>
          <w:rFonts w:ascii="宋体" w:hAnsi="宋体"/>
          <w:bCs/>
          <w:sz w:val="24"/>
        </w:rPr>
      </w:pPr>
    </w:p>
    <w:p w14:paraId="48184207">
      <w:pPr>
        <w:spacing w:line="360" w:lineRule="auto"/>
        <w:ind w:firstLine="4900" w:firstLineChars="1750"/>
        <w:outlineLvl w:val="0"/>
        <w:rPr>
          <w:rFonts w:cs="仿宋_GB2312" w:asciiTheme="minorEastAsia" w:hAnsiTheme="minorEastAsia" w:eastAsiaTheme="minorEastAsia"/>
          <w:color w:val="000000" w:themeColor="text1"/>
          <w:sz w:val="28"/>
          <w:szCs w:val="28"/>
        </w:rPr>
      </w:pPr>
      <w:bookmarkStart w:id="4" w:name="_Toc20298"/>
      <w:r>
        <w:rPr>
          <w:rFonts w:hint="eastAsia" w:cs="仿宋_GB2312" w:asciiTheme="minorEastAsia" w:hAnsiTheme="minorEastAsia" w:eastAsiaTheme="minorEastAsia"/>
          <w:color w:val="000000" w:themeColor="text1"/>
          <w:sz w:val="28"/>
          <w:szCs w:val="28"/>
        </w:rPr>
        <w:t>燎原电缆集团有限公司</w:t>
      </w:r>
      <w:bookmarkEnd w:id="4"/>
    </w:p>
    <w:p w14:paraId="7FE4432F">
      <w:pPr>
        <w:spacing w:line="360" w:lineRule="auto"/>
        <w:ind w:firstLine="4200" w:firstLineChars="1500"/>
        <w:rPr>
          <w:rFonts w:cs="仿宋_GB2312" w:asciiTheme="minorEastAsia" w:hAnsiTheme="minorEastAsia" w:eastAsiaTheme="minorEastAsia"/>
          <w:color w:val="000000" w:themeColor="text1"/>
          <w:sz w:val="28"/>
          <w:szCs w:val="28"/>
        </w:rPr>
      </w:pPr>
    </w:p>
    <w:p w14:paraId="719E4345">
      <w:pPr>
        <w:spacing w:line="360" w:lineRule="auto"/>
        <w:ind w:firstLine="5180" w:firstLineChars="1850"/>
        <w:outlineLvl w:val="0"/>
        <w:rPr>
          <w:rFonts w:cs="仿宋_GB2312" w:asciiTheme="minorEastAsia" w:hAnsiTheme="minorEastAsia" w:eastAsiaTheme="minorEastAsia"/>
          <w:color w:val="000000" w:themeColor="text1"/>
          <w:sz w:val="28"/>
          <w:szCs w:val="28"/>
        </w:rPr>
      </w:pPr>
      <w:bookmarkStart w:id="5" w:name="_Toc23139"/>
      <w:r>
        <w:rPr>
          <w:rFonts w:hint="eastAsia" w:cs="仿宋_GB2312" w:asciiTheme="minorEastAsia" w:hAnsiTheme="minorEastAsia" w:eastAsiaTheme="minorEastAsia"/>
          <w:color w:val="000000" w:themeColor="text1"/>
          <w:sz w:val="28"/>
          <w:szCs w:val="28"/>
        </w:rPr>
        <w:t>总经理（签名）：</w:t>
      </w:r>
      <w:bookmarkEnd w:id="5"/>
    </w:p>
    <w:p w14:paraId="0F0A9545">
      <w:pPr>
        <w:pStyle w:val="547"/>
        <w:spacing w:before="156" w:after="156"/>
        <w:ind w:firstLine="560"/>
        <w:rPr>
          <w:rStyle w:val="585"/>
          <w:rFonts w:hint="default"/>
          <w:sz w:val="28"/>
          <w:szCs w:val="28"/>
        </w:rPr>
      </w:pPr>
    </w:p>
    <w:p w14:paraId="216EF0DB">
      <w:r>
        <w:rPr>
          <w:rFonts w:hint="eastAsia"/>
        </w:rPr>
        <w:br w:type="page"/>
      </w:r>
    </w:p>
    <w:p w14:paraId="32D893E1">
      <w:pPr>
        <w:pStyle w:val="5"/>
        <w:numPr>
          <w:ilvl w:val="0"/>
          <w:numId w:val="0"/>
        </w:numPr>
        <w:tabs>
          <w:tab w:val="clear" w:pos="432"/>
          <w:tab w:val="clear" w:pos="2195"/>
          <w:tab w:val="clear" w:pos="5964"/>
          <w:tab w:val="clear" w:pos="7489"/>
          <w:tab w:val="clear" w:pos="9559"/>
        </w:tabs>
        <w:rPr>
          <w:sz w:val="44"/>
          <w:szCs w:val="44"/>
        </w:rPr>
      </w:pPr>
      <w:bookmarkStart w:id="6" w:name="_Toc1351"/>
      <w:r>
        <w:rPr>
          <w:rFonts w:hint="eastAsia" w:asciiTheme="majorEastAsia" w:hAnsiTheme="majorEastAsia" w:eastAsiaTheme="majorEastAsia" w:cstheme="majorEastAsia"/>
          <w:sz w:val="44"/>
          <w:szCs w:val="44"/>
        </w:rPr>
        <w:t>一、企业概况</w:t>
      </w:r>
      <w:bookmarkEnd w:id="6"/>
    </w:p>
    <w:p w14:paraId="65FEA856">
      <w:pPr>
        <w:pStyle w:val="6"/>
        <w:numPr>
          <w:ilvl w:val="1"/>
          <w:numId w:val="0"/>
        </w:numPr>
        <w:tabs>
          <w:tab w:val="clear" w:pos="576"/>
        </w:tabs>
        <w:spacing w:before="156" w:beforeLines="50" w:after="156" w:afterLines="50" w:line="312" w:lineRule="auto"/>
        <w:rPr>
          <w:rFonts w:asciiTheme="majorEastAsia" w:hAnsiTheme="majorEastAsia" w:eastAsiaTheme="majorEastAsia" w:cstheme="majorEastAsia"/>
          <w:sz w:val="24"/>
          <w:szCs w:val="24"/>
        </w:rPr>
      </w:pPr>
      <w:bookmarkStart w:id="7" w:name="_Toc4483"/>
      <w:r>
        <w:rPr>
          <w:rFonts w:hint="eastAsia" w:asciiTheme="majorEastAsia" w:hAnsiTheme="majorEastAsia" w:eastAsiaTheme="majorEastAsia" w:cstheme="majorEastAsia"/>
          <w:sz w:val="24"/>
          <w:szCs w:val="24"/>
        </w:rPr>
        <w:t>1、公司简介</w:t>
      </w:r>
      <w:bookmarkEnd w:id="7"/>
    </w:p>
    <w:p w14:paraId="41ECC679">
      <w:pPr>
        <w:spacing w:line="288" w:lineRule="auto"/>
        <w:ind w:firstLine="420" w:firstLineChars="200"/>
        <w:rPr>
          <w:rFonts w:ascii="宋体" w:hAnsi="宋体" w:cs="宋体"/>
          <w:szCs w:val="21"/>
        </w:rPr>
      </w:pPr>
      <w:r>
        <w:rPr>
          <w:rFonts w:hint="eastAsia" w:ascii="宋体" w:hAnsi="宋体" w:cs="宋体"/>
          <w:szCs w:val="21"/>
        </w:rPr>
        <w:t>燎原电缆集团有限公司是一家以专业生产高、低压电力电缆为主营业务的公司，公司座落于素有“模具之乡”、“塑料制品王国”之美誉—中国·台州，紧靠104国道和甬台温高速公路，与台州飞机场、台州新建火车站、台州万吨级码头仅相距5-10公里，交通十分便利。</w:t>
      </w:r>
    </w:p>
    <w:p w14:paraId="7988892F">
      <w:pPr>
        <w:spacing w:line="288" w:lineRule="auto"/>
        <w:ind w:firstLine="420" w:firstLineChars="200"/>
        <w:rPr>
          <w:rFonts w:ascii="宋体" w:hAnsi="宋体" w:cs="宋体"/>
          <w:szCs w:val="21"/>
        </w:rPr>
      </w:pPr>
      <w:r>
        <w:rPr>
          <w:rFonts w:hint="eastAsia" w:ascii="宋体" w:hAnsi="宋体" w:cs="宋体"/>
          <w:szCs w:val="21"/>
        </w:rPr>
        <w:t>公司拥有国内外先进、齐全的生产设备和检测设备。其主导产品有：交联聚乙烯绝缘电力电缆、架空绝缘电缆、聚氯乙烯绝缘电力电缆、控制电缆、分支电缆、铝绞线等系列产品，产品均按</w:t>
      </w:r>
      <w:r>
        <w:rPr>
          <w:rFonts w:hint="eastAsia" w:ascii="宋体" w:hAnsi="宋体" w:cs="宋体"/>
          <w:szCs w:val="21"/>
          <w:lang w:eastAsia="zh-CN"/>
        </w:rPr>
        <w:t>国家</w:t>
      </w:r>
      <w:r>
        <w:rPr>
          <w:rFonts w:hint="eastAsia" w:ascii="宋体" w:hAnsi="宋体" w:cs="宋体"/>
          <w:szCs w:val="21"/>
        </w:rPr>
        <w:t>标准和行业标准组织生产。公司率先通过ISO9001质量管理体系认证，产品均获得有关部门认证及生产许可证等。其中公司产品获得国家10项专利。</w:t>
      </w:r>
    </w:p>
    <w:p w14:paraId="44B1CE34">
      <w:pPr>
        <w:spacing w:line="288" w:lineRule="auto"/>
        <w:ind w:firstLine="420" w:firstLineChars="200"/>
        <w:rPr>
          <w:rFonts w:ascii="宋体" w:hAnsi="宋体" w:cs="宋体"/>
          <w:szCs w:val="21"/>
        </w:rPr>
      </w:pPr>
      <w:r>
        <w:rPr>
          <w:rFonts w:hint="eastAsia" w:ascii="宋体" w:hAnsi="宋体" w:cs="宋体"/>
          <w:szCs w:val="21"/>
        </w:rPr>
        <w:t>部分产品被国家重点项目工程采用，曾先后为：三峡电站、杭州湾大桥、上海地铁三号线、宝山钢铁股份有限公司，凯迪电力、上海建工、大庆油田、北京奥运会曲棍球场馆等重大工程提供产品服务；产品被广泛用于电力、冶金、石油、化工、医疗、国防、煤矿、铁路、港口、建筑等领域。</w:t>
      </w:r>
    </w:p>
    <w:p w14:paraId="756CBC63">
      <w:pPr>
        <w:spacing w:line="312" w:lineRule="auto"/>
        <w:ind w:firstLine="420" w:firstLineChars="200"/>
        <w:rPr>
          <w:rFonts w:ascii="宋体" w:hAnsi="宋体" w:cs="宋体"/>
          <w:szCs w:val="21"/>
        </w:rPr>
      </w:pPr>
      <w:r>
        <w:rPr>
          <w:rFonts w:hint="eastAsia" w:ascii="宋体" w:hAnsi="宋体" w:cs="宋体"/>
          <w:szCs w:val="21"/>
        </w:rPr>
        <w:t>我们不仅在电缆应用、电力传输、质量控制等方面积累了丰富的经验，同时我们所开发的节能环保电缆也为客户带来了巨大的便利和效益。</w:t>
      </w:r>
    </w:p>
    <w:p w14:paraId="2159BB3A">
      <w:pPr>
        <w:ind w:right="-382"/>
        <w:jc w:val="center"/>
        <w:rPr>
          <w:rFonts w:ascii="宋体" w:hAnsi="宋体"/>
          <w:b/>
          <w:color w:val="000000"/>
          <w:szCs w:val="21"/>
        </w:rPr>
      </w:pPr>
      <w:r>
        <w:rPr>
          <w:rFonts w:hint="eastAsia" w:ascii="宋体" w:hAnsi="宋体"/>
          <w:b/>
          <w:color w:val="000000"/>
          <w:szCs w:val="21"/>
        </w:rPr>
        <w:t>图表1 公司总部厂区内景图</w:t>
      </w:r>
    </w:p>
    <w:p w14:paraId="5A988DDE">
      <w:pPr>
        <w:spacing w:line="312" w:lineRule="auto"/>
        <w:ind w:right="-382"/>
        <w:jc w:val="center"/>
        <w:rPr>
          <w:rFonts w:ascii="宋体" w:hAnsi="宋体" w:cs="Times New Roman" w:eastAsiaTheme="minorEastAsia"/>
          <w:szCs w:val="21"/>
        </w:rPr>
      </w:pPr>
      <w:r>
        <w:rPr>
          <w:rFonts w:hint="eastAsia" w:ascii="宋体" w:hAnsi="宋体" w:cs="Times New Roman" w:eastAsiaTheme="minorEastAsia"/>
          <w:szCs w:val="21"/>
        </w:rPr>
        <w:drawing>
          <wp:inline distT="0" distB="0" distL="114300" distR="114300">
            <wp:extent cx="5292725" cy="2232660"/>
            <wp:effectExtent l="0" t="0" r="3175" b="2540"/>
            <wp:docPr id="4" name="图片 4" descr="15733039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573303998(1)"/>
                    <pic:cNvPicPr>
                      <a:picLocks noChangeAspect="1"/>
                    </pic:cNvPicPr>
                  </pic:nvPicPr>
                  <pic:blipFill>
                    <a:blip r:embed="rId8" cstate="print"/>
                    <a:srcRect l="475" t="3754" r="475" b="1116"/>
                    <a:stretch>
                      <a:fillRect/>
                    </a:stretch>
                  </pic:blipFill>
                  <pic:spPr>
                    <a:xfrm>
                      <a:off x="0" y="0"/>
                      <a:ext cx="5292725" cy="2232660"/>
                    </a:xfrm>
                    <a:prstGeom prst="rect">
                      <a:avLst/>
                    </a:prstGeom>
                  </pic:spPr>
                </pic:pic>
              </a:graphicData>
            </a:graphic>
          </wp:inline>
        </w:drawing>
      </w:r>
    </w:p>
    <w:p w14:paraId="121646F1">
      <w:pPr>
        <w:ind w:right="-382"/>
        <w:jc w:val="center"/>
        <w:rPr>
          <w:rFonts w:ascii="宋体" w:hAnsi="宋体"/>
          <w:b/>
          <w:color w:val="000000"/>
          <w:szCs w:val="21"/>
        </w:rPr>
      </w:pPr>
      <w:r>
        <w:rPr>
          <w:rFonts w:hint="eastAsia" w:ascii="宋体" w:hAnsi="宋体"/>
          <w:b/>
          <w:color w:val="000000"/>
          <w:szCs w:val="21"/>
        </w:rPr>
        <w:t>图表2 产品图册</w:t>
      </w:r>
    </w:p>
    <w:p w14:paraId="195AA6BE">
      <w:pPr>
        <w:spacing w:line="312" w:lineRule="auto"/>
        <w:ind w:right="-382"/>
        <w:jc w:val="center"/>
        <w:rPr>
          <w:rFonts w:ascii="宋体" w:hAnsi="宋体" w:cs="Times New Roman" w:eastAsiaTheme="minorEastAsia"/>
          <w:szCs w:val="21"/>
        </w:rPr>
      </w:pPr>
      <w:r>
        <w:rPr>
          <w:b/>
          <w:sz w:val="24"/>
        </w:rPr>
        <w:drawing>
          <wp:inline distT="0" distB="0" distL="114300" distR="114300">
            <wp:extent cx="3650615" cy="1880870"/>
            <wp:effectExtent l="0" t="0" r="6985" b="11430"/>
            <wp:docPr id="6" name="图片 5" descr="3906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39064494"/>
                    <pic:cNvPicPr>
                      <a:picLocks noChangeAspect="1" noChangeArrowheads="1"/>
                    </pic:cNvPicPr>
                  </pic:nvPicPr>
                  <pic:blipFill>
                    <a:blip r:embed="rId9" cstate="print"/>
                    <a:srcRect t="14098" b="6739"/>
                    <a:stretch>
                      <a:fillRect/>
                    </a:stretch>
                  </pic:blipFill>
                  <pic:spPr>
                    <a:xfrm>
                      <a:off x="0" y="0"/>
                      <a:ext cx="3650615" cy="1880870"/>
                    </a:xfrm>
                    <a:prstGeom prst="rect">
                      <a:avLst/>
                    </a:prstGeom>
                    <a:noFill/>
                    <a:ln w="9525">
                      <a:noFill/>
                      <a:miter lim="800000"/>
                      <a:headEnd/>
                      <a:tailEnd/>
                    </a:ln>
                  </pic:spPr>
                </pic:pic>
              </a:graphicData>
            </a:graphic>
          </wp:inline>
        </w:drawing>
      </w:r>
    </w:p>
    <w:p w14:paraId="1A60AC15">
      <w:pPr>
        <w:spacing w:line="312" w:lineRule="auto"/>
        <w:ind w:right="-382"/>
        <w:jc w:val="center"/>
        <w:rPr>
          <w:rFonts w:ascii="宋体" w:hAnsi="宋体"/>
          <w:b/>
          <w:color w:val="000000"/>
          <w:szCs w:val="21"/>
        </w:rPr>
      </w:pPr>
      <w:r>
        <w:rPr>
          <w:rFonts w:hint="eastAsia" w:ascii="宋体" w:hAnsi="宋体"/>
          <w:b/>
          <w:color w:val="000000"/>
          <w:szCs w:val="21"/>
        </w:rPr>
        <w:t>图表3 公司各项荣誉</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0"/>
        <w:gridCol w:w="4570"/>
      </w:tblGrid>
      <w:tr w14:paraId="192D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0" w:type="dxa"/>
          </w:tcPr>
          <w:p w14:paraId="6BCB6D79">
            <w:pPr>
              <w:spacing w:line="312" w:lineRule="auto"/>
              <w:ind w:right="-66"/>
              <w:jc w:val="center"/>
              <w:rPr>
                <w:rFonts w:ascii="宋体" w:hAnsi="宋体"/>
                <w:b/>
                <w:color w:val="000000"/>
                <w:szCs w:val="21"/>
              </w:rPr>
            </w:pPr>
            <w:r>
              <w:rPr>
                <w:rFonts w:hint="eastAsia" w:ascii="宋体" w:hAnsi="宋体"/>
                <w:b/>
                <w:color w:val="000000"/>
                <w:szCs w:val="21"/>
              </w:rPr>
              <w:drawing>
                <wp:inline distT="0" distB="0" distL="114300" distR="114300">
                  <wp:extent cx="2764155" cy="1961515"/>
                  <wp:effectExtent l="0" t="0" r="4445" b="6985"/>
                  <wp:docPr id="8" name="图片 8" descr="1573304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573304525(1)"/>
                          <pic:cNvPicPr>
                            <a:picLocks noChangeAspect="1"/>
                          </pic:cNvPicPr>
                        </pic:nvPicPr>
                        <pic:blipFill>
                          <a:blip r:embed="rId10" cstate="print"/>
                          <a:stretch>
                            <a:fillRect/>
                          </a:stretch>
                        </pic:blipFill>
                        <pic:spPr>
                          <a:xfrm>
                            <a:off x="0" y="0"/>
                            <a:ext cx="2764155" cy="1961515"/>
                          </a:xfrm>
                          <a:prstGeom prst="rect">
                            <a:avLst/>
                          </a:prstGeom>
                        </pic:spPr>
                      </pic:pic>
                    </a:graphicData>
                  </a:graphic>
                </wp:inline>
              </w:drawing>
            </w:r>
          </w:p>
        </w:tc>
        <w:tc>
          <w:tcPr>
            <w:tcW w:w="4570" w:type="dxa"/>
          </w:tcPr>
          <w:p w14:paraId="6359C28E">
            <w:pPr>
              <w:spacing w:line="312" w:lineRule="auto"/>
              <w:ind w:right="-66"/>
              <w:jc w:val="center"/>
              <w:rPr>
                <w:rFonts w:ascii="宋体" w:hAnsi="宋体"/>
                <w:b/>
                <w:color w:val="000000"/>
                <w:szCs w:val="21"/>
              </w:rPr>
            </w:pPr>
            <w:r>
              <w:rPr>
                <w:rFonts w:hint="eastAsia" w:asciiTheme="minorEastAsia" w:hAnsiTheme="minorEastAsia" w:cstheme="minorEastAsia"/>
                <w:b/>
                <w:bCs/>
                <w:szCs w:val="21"/>
              </w:rPr>
              <w:drawing>
                <wp:inline distT="0" distB="0" distL="114300" distR="114300">
                  <wp:extent cx="2626995" cy="1892935"/>
                  <wp:effectExtent l="0" t="0" r="1905" b="12065"/>
                  <wp:docPr id="5" name="图片 5" descr="1573304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573304279(1)"/>
                          <pic:cNvPicPr>
                            <a:picLocks noChangeAspect="1"/>
                          </pic:cNvPicPr>
                        </pic:nvPicPr>
                        <pic:blipFill>
                          <a:blip r:embed="rId11" cstate="print"/>
                          <a:stretch>
                            <a:fillRect/>
                          </a:stretch>
                        </pic:blipFill>
                        <pic:spPr>
                          <a:xfrm>
                            <a:off x="0" y="0"/>
                            <a:ext cx="2626995" cy="1892935"/>
                          </a:xfrm>
                          <a:prstGeom prst="rect">
                            <a:avLst/>
                          </a:prstGeom>
                        </pic:spPr>
                      </pic:pic>
                    </a:graphicData>
                  </a:graphic>
                </wp:inline>
              </w:drawing>
            </w:r>
          </w:p>
        </w:tc>
      </w:tr>
      <w:tr w14:paraId="3DFE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0" w:type="dxa"/>
          </w:tcPr>
          <w:p w14:paraId="1DCEA1A8">
            <w:pPr>
              <w:spacing w:line="312" w:lineRule="auto"/>
              <w:ind w:right="-66"/>
              <w:rPr>
                <w:rFonts w:ascii="宋体" w:hAnsi="宋体"/>
                <w:b/>
                <w:color w:val="000000"/>
                <w:szCs w:val="21"/>
              </w:rPr>
            </w:pPr>
            <w:r>
              <w:rPr>
                <w:rFonts w:hint="eastAsia" w:ascii="宋体" w:hAnsi="宋体"/>
                <w:b/>
                <w:color w:val="000000"/>
                <w:szCs w:val="21"/>
              </w:rPr>
              <w:drawing>
                <wp:inline distT="0" distB="0" distL="114300" distR="114300">
                  <wp:extent cx="2761615" cy="1851660"/>
                  <wp:effectExtent l="0" t="0" r="6985" b="2540"/>
                  <wp:docPr id="9" name="图片 9" descr="15733045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573304591(1)"/>
                          <pic:cNvPicPr>
                            <a:picLocks noChangeAspect="1"/>
                          </pic:cNvPicPr>
                        </pic:nvPicPr>
                        <pic:blipFill>
                          <a:blip r:embed="rId12" cstate="print"/>
                          <a:stretch>
                            <a:fillRect/>
                          </a:stretch>
                        </pic:blipFill>
                        <pic:spPr>
                          <a:xfrm>
                            <a:off x="0" y="0"/>
                            <a:ext cx="2761615" cy="1851660"/>
                          </a:xfrm>
                          <a:prstGeom prst="rect">
                            <a:avLst/>
                          </a:prstGeom>
                        </pic:spPr>
                      </pic:pic>
                    </a:graphicData>
                  </a:graphic>
                </wp:inline>
              </w:drawing>
            </w:r>
          </w:p>
        </w:tc>
        <w:tc>
          <w:tcPr>
            <w:tcW w:w="4570" w:type="dxa"/>
          </w:tcPr>
          <w:p w14:paraId="1F68C192">
            <w:pPr>
              <w:spacing w:line="312" w:lineRule="auto"/>
              <w:ind w:right="-66"/>
              <w:rPr>
                <w:rFonts w:ascii="宋体" w:hAnsi="宋体"/>
                <w:b/>
                <w:color w:val="000000"/>
                <w:szCs w:val="21"/>
              </w:rPr>
            </w:pPr>
            <w:r>
              <w:rPr>
                <w:rFonts w:hint="eastAsia" w:ascii="宋体" w:hAnsi="宋体"/>
                <w:b/>
                <w:color w:val="000000"/>
                <w:szCs w:val="21"/>
              </w:rPr>
              <w:drawing>
                <wp:inline distT="0" distB="0" distL="114300" distR="114300">
                  <wp:extent cx="2787015" cy="1845945"/>
                  <wp:effectExtent l="0" t="0" r="6985" b="8255"/>
                  <wp:docPr id="10" name="图片 10" descr="15733046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573304612(1)"/>
                          <pic:cNvPicPr>
                            <a:picLocks noChangeAspect="1"/>
                          </pic:cNvPicPr>
                        </pic:nvPicPr>
                        <pic:blipFill>
                          <a:blip r:embed="rId13" cstate="print"/>
                          <a:stretch>
                            <a:fillRect/>
                          </a:stretch>
                        </pic:blipFill>
                        <pic:spPr>
                          <a:xfrm>
                            <a:off x="0" y="0"/>
                            <a:ext cx="2787015" cy="1845945"/>
                          </a:xfrm>
                          <a:prstGeom prst="rect">
                            <a:avLst/>
                          </a:prstGeom>
                        </pic:spPr>
                      </pic:pic>
                    </a:graphicData>
                  </a:graphic>
                </wp:inline>
              </w:drawing>
            </w:r>
          </w:p>
        </w:tc>
      </w:tr>
      <w:tr w14:paraId="414E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0" w:hRule="atLeast"/>
        </w:trPr>
        <w:tc>
          <w:tcPr>
            <w:tcW w:w="4570" w:type="dxa"/>
          </w:tcPr>
          <w:p w14:paraId="65177ACE">
            <w:pPr>
              <w:spacing w:line="312" w:lineRule="auto"/>
              <w:ind w:right="-66"/>
              <w:rPr>
                <w:rFonts w:hint="eastAsia" w:ascii="宋体" w:hAnsi="宋体" w:eastAsia="宋体"/>
                <w:b/>
                <w:color w:val="000000"/>
                <w:szCs w:val="21"/>
                <w:lang w:eastAsia="zh-CN"/>
              </w:rPr>
            </w:pPr>
            <w:r>
              <w:rPr>
                <w:rFonts w:hint="eastAsia" w:ascii="宋体" w:hAnsi="宋体" w:eastAsia="宋体"/>
                <w:b/>
                <w:color w:val="000000"/>
                <w:szCs w:val="21"/>
                <w:lang w:eastAsia="zh-CN"/>
              </w:rPr>
              <w:drawing>
                <wp:inline distT="0" distB="0" distL="114300" distR="114300">
                  <wp:extent cx="2755265" cy="1948180"/>
                  <wp:effectExtent l="0" t="0" r="6985" b="13970"/>
                  <wp:docPr id="11" name="图片 11" descr="浙江省创新型中小企业荣誉证书(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浙江省创新型中小企业荣誉证书(1)_01"/>
                          <pic:cNvPicPr>
                            <a:picLocks noChangeAspect="1"/>
                          </pic:cNvPicPr>
                        </pic:nvPicPr>
                        <pic:blipFill>
                          <a:blip r:embed="rId14"/>
                          <a:stretch>
                            <a:fillRect/>
                          </a:stretch>
                        </pic:blipFill>
                        <pic:spPr>
                          <a:xfrm>
                            <a:off x="0" y="0"/>
                            <a:ext cx="2755265" cy="1948180"/>
                          </a:xfrm>
                          <a:prstGeom prst="rect">
                            <a:avLst/>
                          </a:prstGeom>
                        </pic:spPr>
                      </pic:pic>
                    </a:graphicData>
                  </a:graphic>
                </wp:inline>
              </w:drawing>
            </w:r>
          </w:p>
        </w:tc>
        <w:tc>
          <w:tcPr>
            <w:tcW w:w="4570" w:type="dxa"/>
          </w:tcPr>
          <w:p w14:paraId="2BF64A2E">
            <w:pPr>
              <w:spacing w:line="312" w:lineRule="auto"/>
              <w:ind w:right="-66"/>
              <w:rPr>
                <w:rFonts w:hint="eastAsia" w:ascii="宋体" w:hAnsi="宋体"/>
                <w:b/>
                <w:color w:val="000000"/>
                <w:szCs w:val="21"/>
              </w:rPr>
            </w:pPr>
          </w:p>
        </w:tc>
      </w:tr>
    </w:tbl>
    <w:p w14:paraId="1BB1A526">
      <w:pPr>
        <w:rPr>
          <w:rFonts w:ascii="宋体" w:hAnsi="宋体"/>
          <w:b/>
          <w:color w:val="000000"/>
          <w:szCs w:val="21"/>
        </w:rPr>
      </w:pPr>
    </w:p>
    <w:p w14:paraId="5F3147B1">
      <w:pPr>
        <w:pStyle w:val="141"/>
        <w:adjustRightInd w:val="0"/>
        <w:spacing w:before="156" w:beforeLines="50" w:line="360" w:lineRule="auto"/>
        <w:ind w:right="325" w:rightChars="155"/>
        <w:outlineLvl w:val="1"/>
        <w:rPr>
          <w:rFonts w:ascii="宋体" w:hAnsi="宋体"/>
          <w:b/>
          <w:color w:val="000000"/>
          <w:szCs w:val="21"/>
        </w:rPr>
      </w:pPr>
      <w:bookmarkStart w:id="8" w:name="_Toc12746"/>
      <w:r>
        <w:rPr>
          <w:rFonts w:hint="eastAsia" w:ascii="宋体" w:hAnsi="宋体"/>
          <w:b/>
          <w:sz w:val="24"/>
        </w:rPr>
        <w:t>2、核心价值观</w:t>
      </w:r>
      <w:r>
        <w:rPr>
          <w:rFonts w:ascii="宋体" w:hAnsi="宋体"/>
          <w:b/>
          <w:sz w:val="24"/>
        </w:rPr>
        <w:t>和发展理念</w:t>
      </w:r>
      <w:bookmarkEnd w:id="8"/>
    </w:p>
    <w:p w14:paraId="21A3B7C6">
      <w:pPr>
        <w:spacing w:line="312" w:lineRule="auto"/>
        <w:ind w:right="-382" w:firstLine="420" w:firstLineChars="200"/>
        <w:rPr>
          <w:rFonts w:asciiTheme="minorEastAsia" w:hAnsiTheme="minorEastAsia" w:eastAsiaTheme="minorEastAsia"/>
          <w:color w:val="0000FF"/>
          <w:szCs w:val="21"/>
        </w:rPr>
      </w:pPr>
      <w:r>
        <w:rPr>
          <w:rFonts w:hint="eastAsia" w:asciiTheme="minorEastAsia" w:hAnsiTheme="minorEastAsia" w:eastAsiaTheme="minorEastAsia"/>
          <w:color w:val="0000FF"/>
          <w:szCs w:val="21"/>
        </w:rPr>
        <w:t>公司管理层十分重视企业文化建设，提出了公司的核心价值观、使命和愿景。</w:t>
      </w:r>
    </w:p>
    <w:p w14:paraId="7CD4AFB2">
      <w:pPr>
        <w:spacing w:line="312" w:lineRule="auto"/>
        <w:ind w:left="1052" w:leftChars="200" w:right="-382" w:hanging="632" w:hangingChars="300"/>
        <w:rPr>
          <w:b/>
          <w:bCs/>
          <w:color w:val="0000FF"/>
          <w:szCs w:val="21"/>
        </w:rPr>
      </w:pPr>
      <w:r>
        <w:rPr>
          <w:rFonts w:hint="eastAsia"/>
          <w:b/>
          <w:bCs/>
          <w:color w:val="0000FF"/>
          <w:szCs w:val="21"/>
        </w:rPr>
        <w:t>公司使命：用高新技术改造传统产业，做客户满意的电缆产品。</w:t>
      </w:r>
    </w:p>
    <w:p w14:paraId="26E8FC5C">
      <w:pPr>
        <w:spacing w:line="312" w:lineRule="auto"/>
        <w:ind w:left="1052" w:leftChars="200" w:right="-382" w:hanging="632" w:hangingChars="300"/>
        <w:rPr>
          <w:b/>
          <w:bCs/>
          <w:color w:val="0000FF"/>
          <w:szCs w:val="21"/>
        </w:rPr>
      </w:pPr>
      <w:r>
        <w:rPr>
          <w:rFonts w:hint="eastAsia"/>
          <w:b/>
          <w:bCs/>
          <w:color w:val="0000FF"/>
          <w:szCs w:val="21"/>
        </w:rPr>
        <w:t>公司愿景：成为国内电缆行业的先进企业。</w:t>
      </w:r>
    </w:p>
    <w:p w14:paraId="0DAE8A4B">
      <w:pPr>
        <w:spacing w:line="312" w:lineRule="auto"/>
        <w:ind w:left="1052" w:leftChars="200" w:right="-382" w:hanging="632" w:hangingChars="300"/>
        <w:rPr>
          <w:b/>
          <w:bCs/>
          <w:color w:val="0000FF"/>
          <w:szCs w:val="21"/>
        </w:rPr>
      </w:pPr>
      <w:r>
        <w:rPr>
          <w:rFonts w:hint="eastAsia"/>
          <w:b/>
          <w:bCs/>
          <w:color w:val="0000FF"/>
          <w:szCs w:val="21"/>
        </w:rPr>
        <w:t>核心价值观：和谐、诚信、创新、奋进。</w:t>
      </w:r>
    </w:p>
    <w:p w14:paraId="3F616E69">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公司营造良好的沟通氛围，通过设置总经理信箱、开展合理化建议活动等，广泛听取各层面员工的意见或建议，保持组织内部沟通顺畅；通过洽谈会、研讨会、走访等多种形式，倾听顾客、供方等相关方的意见及建议。公司领导倡导“沟通无限”，建立了互动双向沟通机制，多渠道听取员工及其他相关方要求，多种方式实现不同部门、不同职位、不同地区间的有效沟通，如下表。</w:t>
      </w:r>
    </w:p>
    <w:p w14:paraId="6C74AE16">
      <w:pPr>
        <w:pStyle w:val="387"/>
        <w:spacing w:line="312"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图表4 企业文化的传播与沟通</w:t>
      </w:r>
    </w:p>
    <w:tbl>
      <w:tblPr>
        <w:tblStyle w:val="89"/>
        <w:tblW w:w="9062" w:type="dxa"/>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1668"/>
        <w:gridCol w:w="7394"/>
      </w:tblGrid>
      <w:tr w14:paraId="16E29D85">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668" w:type="dxa"/>
            <w:shd w:val="clear" w:color="auto" w:fill="DBE5F1" w:themeFill="accent1" w:themeFillTint="33"/>
            <w:vAlign w:val="center"/>
          </w:tcPr>
          <w:p w14:paraId="564CDB8D">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沟通对象</w:t>
            </w:r>
          </w:p>
        </w:tc>
        <w:tc>
          <w:tcPr>
            <w:tcW w:w="7394" w:type="dxa"/>
            <w:shd w:val="clear" w:color="auto" w:fill="DBE5F1" w:themeFill="accent1" w:themeFillTint="33"/>
            <w:vAlign w:val="center"/>
          </w:tcPr>
          <w:p w14:paraId="7D910E8A">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主要沟通方式</w:t>
            </w:r>
          </w:p>
        </w:tc>
      </w:tr>
      <w:tr w14:paraId="0F503B46">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668" w:type="dxa"/>
            <w:vAlign w:val="center"/>
          </w:tcPr>
          <w:p w14:paraId="35C63A6A">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股东</w:t>
            </w:r>
          </w:p>
        </w:tc>
        <w:tc>
          <w:tcPr>
            <w:tcW w:w="7394" w:type="dxa"/>
            <w:vAlign w:val="center"/>
          </w:tcPr>
          <w:p w14:paraId="2B782F93">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股东大会、新闻媒体、网站。</w:t>
            </w:r>
          </w:p>
        </w:tc>
      </w:tr>
      <w:tr w14:paraId="6B5450C6">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668" w:type="dxa"/>
            <w:vMerge w:val="restart"/>
            <w:vAlign w:val="center"/>
          </w:tcPr>
          <w:p w14:paraId="49EF7111">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员工</w:t>
            </w:r>
          </w:p>
        </w:tc>
        <w:tc>
          <w:tcPr>
            <w:tcW w:w="7394" w:type="dxa"/>
            <w:vAlign w:val="center"/>
          </w:tcPr>
          <w:p w14:paraId="21B79DE6">
            <w:pPr>
              <w:pStyle w:val="387"/>
              <w:spacing w:line="240" w:lineRule="auto"/>
              <w:ind w:firstLine="0" w:firstLineChars="0"/>
              <w:jc w:val="left"/>
              <w:rPr>
                <w:rFonts w:asciiTheme="minorEastAsia" w:hAnsiTheme="minorEastAsia" w:eastAsiaTheme="minorEastAsia"/>
                <w:sz w:val="21"/>
              </w:rPr>
            </w:pPr>
            <w:r>
              <w:rPr>
                <w:rFonts w:hint="eastAsia" w:asciiTheme="minorEastAsia" w:hAnsiTheme="minorEastAsia" w:eastAsiaTheme="minorEastAsia"/>
                <w:sz w:val="21"/>
              </w:rPr>
              <w:t>《员工手册》、公司宣传册、跨网站、邮件系统、形象宣传片、企业宣传栏、档案室。</w:t>
            </w:r>
          </w:p>
        </w:tc>
      </w:tr>
      <w:tr w14:paraId="5236B70B">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668" w:type="dxa"/>
            <w:vMerge w:val="continue"/>
            <w:vAlign w:val="center"/>
          </w:tcPr>
          <w:p w14:paraId="48B24AEE">
            <w:pPr>
              <w:pStyle w:val="387"/>
              <w:spacing w:line="240" w:lineRule="auto"/>
              <w:ind w:firstLine="0" w:firstLineChars="0"/>
              <w:jc w:val="center"/>
              <w:rPr>
                <w:rFonts w:asciiTheme="minorEastAsia" w:hAnsiTheme="minorEastAsia" w:eastAsiaTheme="minorEastAsia"/>
                <w:sz w:val="21"/>
              </w:rPr>
            </w:pPr>
          </w:p>
        </w:tc>
        <w:tc>
          <w:tcPr>
            <w:tcW w:w="7394" w:type="dxa"/>
            <w:vAlign w:val="center"/>
          </w:tcPr>
          <w:p w14:paraId="035509CD">
            <w:pPr>
              <w:pStyle w:val="387"/>
              <w:spacing w:line="240" w:lineRule="auto"/>
              <w:ind w:firstLine="0" w:firstLineChars="0"/>
              <w:jc w:val="left"/>
              <w:rPr>
                <w:rFonts w:asciiTheme="minorEastAsia" w:hAnsiTheme="minorEastAsia" w:eastAsiaTheme="minorEastAsia"/>
                <w:sz w:val="21"/>
              </w:rPr>
            </w:pPr>
            <w:r>
              <w:rPr>
                <w:rFonts w:hint="eastAsia" w:asciiTheme="minorEastAsia" w:hAnsiTheme="minorEastAsia" w:eastAsiaTheme="minorEastAsia"/>
                <w:sz w:val="21"/>
              </w:rPr>
              <w:t>年终晚会活动，集体节庆聚餐，文化活动室（台球、乒乓球）。</w:t>
            </w:r>
          </w:p>
        </w:tc>
      </w:tr>
      <w:tr w14:paraId="69B53CEF">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668" w:type="dxa"/>
            <w:vMerge w:val="continue"/>
            <w:vAlign w:val="center"/>
          </w:tcPr>
          <w:p w14:paraId="054F586A">
            <w:pPr>
              <w:pStyle w:val="387"/>
              <w:spacing w:line="240" w:lineRule="auto"/>
              <w:ind w:firstLine="0" w:firstLineChars="0"/>
              <w:jc w:val="center"/>
              <w:rPr>
                <w:rFonts w:asciiTheme="minorEastAsia" w:hAnsiTheme="minorEastAsia" w:eastAsiaTheme="minorEastAsia"/>
                <w:sz w:val="21"/>
              </w:rPr>
            </w:pPr>
          </w:p>
        </w:tc>
        <w:tc>
          <w:tcPr>
            <w:tcW w:w="7394" w:type="dxa"/>
            <w:vAlign w:val="center"/>
          </w:tcPr>
          <w:p w14:paraId="78B3B7B7">
            <w:pPr>
              <w:pStyle w:val="387"/>
              <w:spacing w:line="240" w:lineRule="auto"/>
              <w:ind w:firstLine="0" w:firstLineChars="0"/>
              <w:rPr>
                <w:rFonts w:asciiTheme="minorEastAsia" w:hAnsiTheme="minorEastAsia" w:eastAsiaTheme="minorEastAsia"/>
                <w:sz w:val="21"/>
              </w:rPr>
            </w:pPr>
            <w:r>
              <w:rPr>
                <w:rFonts w:hint="eastAsia" w:asciiTheme="minorEastAsia" w:hAnsiTheme="minorEastAsia" w:eastAsiaTheme="minorEastAsia"/>
                <w:sz w:val="21"/>
              </w:rPr>
              <w:t>入职培训、每周管理会议、每周品质会议、每周生产会议、年度职工代表大会、年初开工大会、年度工作总结会、员工座谈会、绩效面谈。</w:t>
            </w:r>
          </w:p>
        </w:tc>
      </w:tr>
      <w:tr w14:paraId="4F60680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668" w:type="dxa"/>
            <w:vAlign w:val="center"/>
          </w:tcPr>
          <w:p w14:paraId="5E33D89E">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顾客</w:t>
            </w:r>
          </w:p>
        </w:tc>
        <w:tc>
          <w:tcPr>
            <w:tcW w:w="7394" w:type="dxa"/>
            <w:vAlign w:val="center"/>
          </w:tcPr>
          <w:p w14:paraId="7DFE50F2">
            <w:pPr>
              <w:pStyle w:val="387"/>
              <w:spacing w:line="240" w:lineRule="auto"/>
              <w:ind w:firstLine="0" w:firstLineChars="0"/>
              <w:jc w:val="left"/>
              <w:rPr>
                <w:rFonts w:asciiTheme="minorEastAsia" w:hAnsiTheme="minorEastAsia" w:eastAsiaTheme="minorEastAsia"/>
                <w:sz w:val="21"/>
              </w:rPr>
            </w:pPr>
            <w:r>
              <w:rPr>
                <w:rFonts w:hint="eastAsia" w:asciiTheme="minorEastAsia" w:hAnsiTheme="minorEastAsia" w:eastAsiaTheme="minorEastAsia"/>
                <w:sz w:val="21"/>
              </w:rPr>
              <w:t>高层拜访、现场拜访、电话沟通、邮件沟通、传真、企业网站、企业宣传栏、企业形象片、宣传册、产品展销会。</w:t>
            </w:r>
          </w:p>
        </w:tc>
      </w:tr>
      <w:tr w14:paraId="0A7F124B">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668" w:type="dxa"/>
            <w:vAlign w:val="center"/>
          </w:tcPr>
          <w:p w14:paraId="139CFD25">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供应商</w:t>
            </w:r>
          </w:p>
        </w:tc>
        <w:tc>
          <w:tcPr>
            <w:tcW w:w="7394" w:type="dxa"/>
            <w:vAlign w:val="center"/>
          </w:tcPr>
          <w:p w14:paraId="6FDD1541">
            <w:pPr>
              <w:pStyle w:val="387"/>
              <w:spacing w:line="240" w:lineRule="auto"/>
              <w:ind w:firstLine="0" w:firstLineChars="0"/>
              <w:rPr>
                <w:rFonts w:asciiTheme="minorEastAsia" w:hAnsiTheme="minorEastAsia" w:eastAsiaTheme="minorEastAsia"/>
                <w:sz w:val="21"/>
              </w:rPr>
            </w:pPr>
            <w:r>
              <w:rPr>
                <w:rFonts w:hint="eastAsia" w:asciiTheme="minorEastAsia" w:hAnsiTheme="minorEastAsia" w:eastAsiaTheme="minorEastAsia"/>
                <w:sz w:val="21"/>
              </w:rPr>
              <w:t>高层拜访、电话沟通、电子邮件、传真、合同协议、企业网站、企业宣传栏、企业形象片、宣传册。</w:t>
            </w:r>
          </w:p>
        </w:tc>
      </w:tr>
      <w:tr w14:paraId="6CD3B77E">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668" w:type="dxa"/>
            <w:vAlign w:val="center"/>
          </w:tcPr>
          <w:p w14:paraId="42040034">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政府社区</w:t>
            </w:r>
          </w:p>
        </w:tc>
        <w:tc>
          <w:tcPr>
            <w:tcW w:w="7394" w:type="dxa"/>
            <w:vAlign w:val="center"/>
          </w:tcPr>
          <w:p w14:paraId="65C961E6">
            <w:pPr>
              <w:pStyle w:val="387"/>
              <w:spacing w:line="240" w:lineRule="auto"/>
              <w:ind w:firstLine="0" w:firstLineChars="0"/>
              <w:rPr>
                <w:rFonts w:asciiTheme="minorEastAsia" w:hAnsiTheme="minorEastAsia" w:eastAsiaTheme="minorEastAsia"/>
                <w:sz w:val="21"/>
              </w:rPr>
            </w:pPr>
            <w:r>
              <w:rPr>
                <w:rFonts w:hint="eastAsia" w:asciiTheme="minorEastAsia" w:hAnsiTheme="minorEastAsia" w:eastAsiaTheme="minorEastAsia"/>
                <w:sz w:val="21"/>
              </w:rPr>
              <w:t>工作汇报、公共项目参与、公益活动、网站、宣传册、形象片。</w:t>
            </w:r>
          </w:p>
        </w:tc>
      </w:tr>
    </w:tbl>
    <w:p w14:paraId="46DEC846">
      <w:pPr>
        <w:pStyle w:val="141"/>
        <w:adjustRightInd w:val="0"/>
        <w:spacing w:before="156" w:beforeLines="50" w:line="360" w:lineRule="auto"/>
        <w:ind w:right="325" w:rightChars="155"/>
        <w:outlineLvl w:val="1"/>
        <w:rPr>
          <w:rFonts w:ascii="宋体" w:hAnsi="宋体"/>
          <w:b/>
          <w:sz w:val="24"/>
        </w:rPr>
      </w:pPr>
      <w:bookmarkStart w:id="9" w:name="_Toc32500"/>
      <w:r>
        <w:rPr>
          <w:rFonts w:hint="eastAsia" w:ascii="宋体" w:hAnsi="宋体"/>
          <w:b/>
          <w:sz w:val="24"/>
        </w:rPr>
        <w:t>3、社会</w:t>
      </w:r>
      <w:r>
        <w:rPr>
          <w:rFonts w:ascii="宋体" w:hAnsi="宋体"/>
          <w:b/>
          <w:sz w:val="24"/>
        </w:rPr>
        <w:t>责任</w:t>
      </w:r>
      <w:r>
        <w:rPr>
          <w:rFonts w:hint="eastAsia" w:ascii="宋体" w:hAnsi="宋体"/>
          <w:b/>
          <w:sz w:val="24"/>
        </w:rPr>
        <w:t>战略</w:t>
      </w:r>
      <w:bookmarkEnd w:id="9"/>
    </w:p>
    <w:p w14:paraId="0C163F5D">
      <w:pPr>
        <w:pStyle w:val="82"/>
        <w:spacing w:before="0" w:beforeAutospacing="0" w:after="0" w:afterAutospacing="0" w:line="312" w:lineRule="auto"/>
        <w:ind w:firstLine="420" w:firstLineChars="200"/>
        <w:rPr>
          <w:rFonts w:cs="Times New Roman"/>
          <w:bCs/>
          <w:kern w:val="2"/>
          <w:sz w:val="21"/>
          <w:szCs w:val="21"/>
        </w:rPr>
      </w:pPr>
      <w:r>
        <w:rPr>
          <w:rFonts w:hint="eastAsia" w:cs="Times New Roman"/>
          <w:bCs/>
          <w:kern w:val="2"/>
          <w:sz w:val="21"/>
          <w:szCs w:val="21"/>
        </w:rPr>
        <w:t>为保证企业社会责任的有效落实，公司董事会，每季度召开一次例会，负责制定战略目标和规划，管理和协调公司的社会责任和可持续发展方面的工作，以此确保企业运营能够为社会、环境及利益相关方带来积极的影响，进而促进企业和整个社会的可持续发展。</w:t>
      </w:r>
    </w:p>
    <w:p w14:paraId="647FC0AA">
      <w:pPr>
        <w:pStyle w:val="141"/>
        <w:adjustRightInd w:val="0"/>
        <w:spacing w:before="156" w:beforeLines="50" w:line="360" w:lineRule="auto"/>
        <w:ind w:right="325" w:rightChars="155"/>
        <w:outlineLvl w:val="1"/>
        <w:rPr>
          <w:rFonts w:ascii="宋体" w:hAnsi="宋体"/>
          <w:b/>
          <w:sz w:val="24"/>
        </w:rPr>
      </w:pPr>
      <w:bookmarkStart w:id="10" w:name="_Toc22181"/>
      <w:r>
        <w:rPr>
          <w:rFonts w:hint="eastAsia" w:ascii="宋体" w:hAnsi="宋体"/>
          <w:b/>
          <w:sz w:val="24"/>
        </w:rPr>
        <w:t>4、利益</w:t>
      </w:r>
      <w:r>
        <w:rPr>
          <w:rFonts w:ascii="宋体" w:hAnsi="宋体"/>
          <w:b/>
          <w:sz w:val="24"/>
        </w:rPr>
        <w:t>相关方识别和沟通</w:t>
      </w:r>
      <w:bookmarkEnd w:id="10"/>
    </w:p>
    <w:p w14:paraId="7113379A">
      <w:pPr>
        <w:adjustRightInd w:val="0"/>
        <w:spacing w:line="312" w:lineRule="auto"/>
        <w:ind w:firstLine="420" w:firstLineChars="200"/>
        <w:rPr>
          <w:rFonts w:ascii="宋体" w:hAnsi="宋体"/>
          <w:kern w:val="0"/>
          <w:szCs w:val="21"/>
        </w:rPr>
      </w:pPr>
      <w:r>
        <w:rPr>
          <w:rFonts w:hint="eastAsia" w:ascii="宋体" w:hAnsi="宋体"/>
          <w:kern w:val="0"/>
          <w:szCs w:val="21"/>
        </w:rPr>
        <w:t>利益相关方沟通是企业社会责任管理的重要部分。公司</w:t>
      </w:r>
      <w:r>
        <w:rPr>
          <w:rFonts w:ascii="宋体" w:hAnsi="宋体"/>
          <w:kern w:val="0"/>
          <w:szCs w:val="21"/>
        </w:rPr>
        <w:t>高层领导全方位、多角度地向员工、顾客、供应商、政府及社会组织进行双向沟通，促进企业文化不断繁荣和发展。</w:t>
      </w:r>
      <w:r>
        <w:rPr>
          <w:rFonts w:hint="eastAsia" w:ascii="宋体" w:hAnsi="宋体"/>
          <w:kern w:val="0"/>
          <w:szCs w:val="21"/>
        </w:rPr>
        <w:t>我们通过多种渠道和方式，</w:t>
      </w:r>
      <w:r>
        <w:rPr>
          <w:rFonts w:ascii="宋体" w:hAnsi="宋体"/>
          <w:kern w:val="0"/>
          <w:szCs w:val="21"/>
        </w:rPr>
        <w:t>了解</w:t>
      </w:r>
      <w:r>
        <w:rPr>
          <w:rFonts w:hint="eastAsia" w:ascii="宋体" w:hAnsi="宋体"/>
          <w:kern w:val="0"/>
          <w:szCs w:val="21"/>
        </w:rPr>
        <w:t>各方诉求和建议，履行各类责任。</w:t>
      </w:r>
    </w:p>
    <w:p w14:paraId="5E7EF733">
      <w:pPr>
        <w:adjustRightInd w:val="0"/>
        <w:snapToGrid w:val="0"/>
        <w:spacing w:before="156" w:beforeLines="50"/>
        <w:jc w:val="center"/>
        <w:rPr>
          <w:rFonts w:ascii="宋体" w:hAnsi="宋体"/>
          <w:b/>
          <w:szCs w:val="21"/>
        </w:rPr>
      </w:pPr>
      <w:r>
        <w:rPr>
          <w:rFonts w:hint="eastAsia" w:ascii="宋体" w:hAnsi="宋体"/>
          <w:b/>
          <w:color w:val="000000"/>
          <w:szCs w:val="21"/>
        </w:rPr>
        <w:t xml:space="preserve">图表5 </w:t>
      </w:r>
      <w:r>
        <w:rPr>
          <w:rFonts w:ascii="宋体" w:hAnsi="宋体"/>
          <w:b/>
          <w:szCs w:val="21"/>
        </w:rPr>
        <w:t>多渠道与相关方沟通</w:t>
      </w:r>
    </w:p>
    <w:tbl>
      <w:tblPr>
        <w:tblStyle w:val="88"/>
        <w:tblW w:w="8785" w:type="dxa"/>
        <w:tblInd w:w="249"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85"/>
        <w:gridCol w:w="7400"/>
      </w:tblGrid>
      <w:tr w14:paraId="4A7B2F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1385" w:type="dxa"/>
            <w:tcBorders>
              <w:top w:val="single" w:color="auto" w:sz="4" w:space="0"/>
            </w:tcBorders>
            <w:shd w:val="clear" w:color="auto" w:fill="DCE6F2" w:themeFill="accent1" w:themeFillTint="32"/>
            <w:vAlign w:val="center"/>
          </w:tcPr>
          <w:p w14:paraId="40D6C6F7">
            <w:pPr>
              <w:adjustRightInd w:val="0"/>
              <w:snapToGrid w:val="0"/>
              <w:ind w:right="31" w:rightChars="15"/>
              <w:jc w:val="center"/>
              <w:rPr>
                <w:rFonts w:ascii="宋体" w:hAnsi="宋体"/>
                <w:b/>
                <w:bCs/>
                <w:szCs w:val="21"/>
              </w:rPr>
            </w:pPr>
            <w:r>
              <w:rPr>
                <w:rFonts w:hint="eastAsia" w:ascii="宋体" w:hAnsi="宋体" w:cs="宋体"/>
                <w:b/>
                <w:bCs/>
                <w:szCs w:val="21"/>
              </w:rPr>
              <w:t>沟通对象</w:t>
            </w:r>
          </w:p>
        </w:tc>
        <w:tc>
          <w:tcPr>
            <w:tcW w:w="7400" w:type="dxa"/>
            <w:tcBorders>
              <w:top w:val="single" w:color="auto" w:sz="4" w:space="0"/>
            </w:tcBorders>
            <w:shd w:val="clear" w:color="auto" w:fill="DCE6F2" w:themeFill="accent1" w:themeFillTint="32"/>
            <w:vAlign w:val="center"/>
          </w:tcPr>
          <w:p w14:paraId="2C2B090B">
            <w:pPr>
              <w:adjustRightInd w:val="0"/>
              <w:snapToGrid w:val="0"/>
              <w:ind w:right="325" w:rightChars="155"/>
              <w:jc w:val="center"/>
              <w:rPr>
                <w:rFonts w:ascii="宋体" w:hAnsi="宋体"/>
                <w:b/>
                <w:bCs/>
                <w:kern w:val="0"/>
                <w:szCs w:val="21"/>
              </w:rPr>
            </w:pPr>
            <w:r>
              <w:rPr>
                <w:rFonts w:hint="eastAsia" w:ascii="宋体" w:hAnsi="宋体"/>
                <w:b/>
                <w:bCs/>
                <w:kern w:val="0"/>
                <w:szCs w:val="21"/>
              </w:rPr>
              <w:t>沟通渠道</w:t>
            </w:r>
          </w:p>
        </w:tc>
      </w:tr>
      <w:tr w14:paraId="2492F9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restart"/>
            <w:vAlign w:val="center"/>
          </w:tcPr>
          <w:p w14:paraId="15CD72EB">
            <w:pPr>
              <w:spacing w:line="360" w:lineRule="auto"/>
              <w:ind w:right="31" w:rightChars="15"/>
              <w:jc w:val="center"/>
              <w:rPr>
                <w:rFonts w:ascii="宋体" w:hAnsi="宋体" w:cs="Calibri"/>
                <w:b/>
                <w:color w:val="000000"/>
                <w:szCs w:val="21"/>
              </w:rPr>
            </w:pPr>
            <w:r>
              <w:rPr>
                <w:rFonts w:hint="eastAsia" w:ascii="宋体" w:hAnsi="宋体" w:cs="Calibri"/>
                <w:b/>
                <w:color w:val="000000"/>
                <w:szCs w:val="21"/>
              </w:rPr>
              <w:t>公司员工</w:t>
            </w:r>
          </w:p>
        </w:tc>
        <w:tc>
          <w:tcPr>
            <w:tcW w:w="7400" w:type="dxa"/>
            <w:vAlign w:val="center"/>
          </w:tcPr>
          <w:p w14:paraId="75303107">
            <w:pPr>
              <w:autoSpaceDE w:val="0"/>
              <w:autoSpaceDN w:val="0"/>
              <w:adjustRightInd w:val="0"/>
              <w:spacing w:line="276" w:lineRule="auto"/>
              <w:ind w:right="325" w:rightChars="155"/>
              <w:jc w:val="left"/>
              <w:rPr>
                <w:rFonts w:ascii="宋体" w:hAnsi="宋体"/>
                <w:kern w:val="0"/>
              </w:rPr>
            </w:pPr>
            <w:r>
              <w:rPr>
                <w:rFonts w:hint="eastAsia" w:ascii="宋体" w:hAnsi="宋体"/>
                <w:kern w:val="0"/>
              </w:rPr>
              <w:t>入职培训、</w:t>
            </w:r>
            <w:r>
              <w:rPr>
                <w:rFonts w:ascii="宋体" w:hAnsi="宋体"/>
                <w:kern w:val="0"/>
              </w:rPr>
              <w:t>在职培训、专业培训、选拔培训</w:t>
            </w:r>
            <w:r>
              <w:rPr>
                <w:rFonts w:hint="eastAsia" w:ascii="宋体" w:hAnsi="宋体"/>
                <w:kern w:val="0"/>
              </w:rPr>
              <w:t>等</w:t>
            </w:r>
          </w:p>
        </w:tc>
      </w:tr>
      <w:tr w14:paraId="77CFAA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4BD553F3">
            <w:pPr>
              <w:spacing w:line="360" w:lineRule="auto"/>
              <w:ind w:right="31" w:rightChars="15"/>
              <w:jc w:val="center"/>
              <w:rPr>
                <w:rFonts w:ascii="宋体" w:hAnsi="宋体" w:cs="Calibri"/>
                <w:b/>
                <w:color w:val="000000"/>
                <w:szCs w:val="21"/>
              </w:rPr>
            </w:pPr>
          </w:p>
        </w:tc>
        <w:tc>
          <w:tcPr>
            <w:tcW w:w="7400" w:type="dxa"/>
            <w:vAlign w:val="center"/>
          </w:tcPr>
          <w:p w14:paraId="7EB70507">
            <w:pPr>
              <w:autoSpaceDE w:val="0"/>
              <w:autoSpaceDN w:val="0"/>
              <w:adjustRightInd w:val="0"/>
              <w:spacing w:line="276" w:lineRule="auto"/>
              <w:jc w:val="left"/>
              <w:rPr>
                <w:rFonts w:ascii="宋体" w:hAnsi="宋体"/>
                <w:kern w:val="0"/>
              </w:rPr>
            </w:pPr>
            <w:r>
              <w:rPr>
                <w:rFonts w:ascii="宋体" w:hAnsi="宋体"/>
                <w:kern w:val="0"/>
              </w:rPr>
              <w:t>企业文化墙、《员工手册》、网站、公司文件、车间宣传栏</w:t>
            </w:r>
            <w:r>
              <w:rPr>
                <w:rFonts w:hint="eastAsia" w:ascii="宋体" w:hAnsi="宋体"/>
                <w:kern w:val="0"/>
              </w:rPr>
              <w:t>、文化宣传文案等</w:t>
            </w:r>
          </w:p>
        </w:tc>
      </w:tr>
      <w:tr w14:paraId="263C66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7444351D">
            <w:pPr>
              <w:spacing w:line="360" w:lineRule="auto"/>
              <w:ind w:right="31" w:rightChars="15"/>
              <w:jc w:val="center"/>
              <w:rPr>
                <w:rFonts w:ascii="宋体" w:hAnsi="宋体" w:cs="Calibri"/>
                <w:b/>
                <w:color w:val="000000"/>
                <w:szCs w:val="21"/>
              </w:rPr>
            </w:pPr>
          </w:p>
        </w:tc>
        <w:tc>
          <w:tcPr>
            <w:tcW w:w="7400" w:type="dxa"/>
            <w:vAlign w:val="center"/>
          </w:tcPr>
          <w:p w14:paraId="4F663689">
            <w:pPr>
              <w:autoSpaceDE w:val="0"/>
              <w:autoSpaceDN w:val="0"/>
              <w:adjustRightInd w:val="0"/>
              <w:spacing w:line="276" w:lineRule="auto"/>
              <w:ind w:right="325" w:rightChars="155"/>
              <w:jc w:val="left"/>
              <w:rPr>
                <w:rFonts w:ascii="宋体" w:hAnsi="宋体"/>
                <w:kern w:val="0"/>
              </w:rPr>
            </w:pPr>
            <w:r>
              <w:rPr>
                <w:rFonts w:hint="eastAsia" w:ascii="宋体" w:hAnsi="宋体"/>
                <w:kern w:val="0"/>
              </w:rPr>
              <w:t>优秀员工、</w:t>
            </w:r>
            <w:r>
              <w:rPr>
                <w:rFonts w:ascii="宋体" w:hAnsi="宋体"/>
                <w:kern w:val="0"/>
              </w:rPr>
              <w:t>年终总结大会及先进表彰大会</w:t>
            </w:r>
            <w:r>
              <w:rPr>
                <w:rFonts w:hint="eastAsia" w:ascii="宋体" w:hAnsi="宋体"/>
                <w:kern w:val="0"/>
              </w:rPr>
              <w:t>等</w:t>
            </w:r>
          </w:p>
        </w:tc>
      </w:tr>
      <w:tr w14:paraId="369497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2901734C">
            <w:pPr>
              <w:spacing w:line="360" w:lineRule="auto"/>
              <w:ind w:right="31" w:rightChars="15"/>
              <w:jc w:val="center"/>
              <w:rPr>
                <w:rFonts w:ascii="宋体" w:hAnsi="宋体" w:cs="Calibri"/>
                <w:b/>
                <w:color w:val="000000"/>
                <w:szCs w:val="21"/>
              </w:rPr>
            </w:pPr>
          </w:p>
        </w:tc>
        <w:tc>
          <w:tcPr>
            <w:tcW w:w="7400" w:type="dxa"/>
            <w:vAlign w:val="center"/>
          </w:tcPr>
          <w:p w14:paraId="21B6A6E1">
            <w:pPr>
              <w:autoSpaceDE w:val="0"/>
              <w:autoSpaceDN w:val="0"/>
              <w:adjustRightInd w:val="0"/>
              <w:spacing w:line="276" w:lineRule="auto"/>
              <w:ind w:right="325" w:rightChars="155"/>
              <w:jc w:val="left"/>
              <w:rPr>
                <w:rFonts w:ascii="宋体" w:hAnsi="宋体"/>
                <w:kern w:val="0"/>
              </w:rPr>
            </w:pPr>
            <w:r>
              <w:rPr>
                <w:rFonts w:hint="eastAsia" w:ascii="宋体" w:hAnsi="宋体"/>
                <w:kern w:val="0"/>
              </w:rPr>
              <w:t>全员大会、研讨会、碰头会、个别座谈会、职代会等</w:t>
            </w:r>
          </w:p>
        </w:tc>
      </w:tr>
      <w:tr w14:paraId="27C522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18535E56">
            <w:pPr>
              <w:spacing w:line="360" w:lineRule="auto"/>
              <w:ind w:right="31" w:rightChars="15"/>
              <w:jc w:val="center"/>
              <w:rPr>
                <w:rFonts w:ascii="宋体" w:hAnsi="宋体" w:cs="Calibri"/>
                <w:b/>
                <w:color w:val="000000"/>
                <w:szCs w:val="21"/>
              </w:rPr>
            </w:pPr>
          </w:p>
        </w:tc>
        <w:tc>
          <w:tcPr>
            <w:tcW w:w="7400" w:type="dxa"/>
            <w:vAlign w:val="center"/>
          </w:tcPr>
          <w:p w14:paraId="4FF73A76">
            <w:pPr>
              <w:autoSpaceDE w:val="0"/>
              <w:autoSpaceDN w:val="0"/>
              <w:adjustRightInd w:val="0"/>
              <w:spacing w:line="276" w:lineRule="auto"/>
              <w:ind w:right="325" w:rightChars="155"/>
              <w:jc w:val="left"/>
              <w:rPr>
                <w:rFonts w:ascii="宋体" w:hAnsi="宋体"/>
                <w:kern w:val="0"/>
              </w:rPr>
            </w:pPr>
            <w:r>
              <w:rPr>
                <w:rFonts w:ascii="宋体" w:hAnsi="宋体"/>
                <w:kern w:val="0"/>
              </w:rPr>
              <w:t>企业短号、企业邮箱</w:t>
            </w:r>
            <w:r>
              <w:rPr>
                <w:rFonts w:hint="eastAsia" w:ascii="宋体" w:hAnsi="宋体"/>
                <w:kern w:val="0"/>
              </w:rPr>
              <w:t>、</w:t>
            </w:r>
            <w:r>
              <w:rPr>
                <w:rFonts w:ascii="宋体" w:hAnsi="宋体"/>
                <w:kern w:val="0"/>
              </w:rPr>
              <w:t>OA系统、</w:t>
            </w:r>
            <w:r>
              <w:rPr>
                <w:rFonts w:hint="eastAsia" w:ascii="宋体" w:hAnsi="宋体"/>
                <w:kern w:val="0"/>
              </w:rPr>
              <w:t>微信公众号、微信群、</w:t>
            </w:r>
            <w:r>
              <w:rPr>
                <w:rFonts w:ascii="宋体" w:hAnsi="宋体"/>
                <w:kern w:val="0"/>
              </w:rPr>
              <w:t>员工满意度调查</w:t>
            </w:r>
            <w:r>
              <w:rPr>
                <w:rFonts w:hint="eastAsia" w:ascii="宋体" w:hAnsi="宋体"/>
                <w:kern w:val="0"/>
              </w:rPr>
              <w:t>等</w:t>
            </w:r>
          </w:p>
        </w:tc>
      </w:tr>
      <w:tr w14:paraId="74C165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Align w:val="center"/>
          </w:tcPr>
          <w:p w14:paraId="4789B96B">
            <w:pPr>
              <w:spacing w:line="360" w:lineRule="auto"/>
              <w:ind w:right="31" w:rightChars="15"/>
              <w:jc w:val="center"/>
              <w:rPr>
                <w:rFonts w:ascii="宋体" w:hAnsi="宋体" w:cs="Calibri"/>
                <w:b/>
                <w:color w:val="000000"/>
                <w:szCs w:val="21"/>
              </w:rPr>
            </w:pPr>
            <w:r>
              <w:rPr>
                <w:rFonts w:hint="eastAsia" w:ascii="宋体" w:hAnsi="宋体" w:cs="Calibri"/>
                <w:b/>
                <w:color w:val="000000"/>
                <w:szCs w:val="21"/>
              </w:rPr>
              <w:t>股 东</w:t>
            </w:r>
          </w:p>
        </w:tc>
        <w:tc>
          <w:tcPr>
            <w:tcW w:w="7400" w:type="dxa"/>
            <w:vAlign w:val="center"/>
          </w:tcPr>
          <w:p w14:paraId="15131D5C">
            <w:pPr>
              <w:autoSpaceDE w:val="0"/>
              <w:autoSpaceDN w:val="0"/>
              <w:adjustRightInd w:val="0"/>
              <w:spacing w:line="276" w:lineRule="auto"/>
              <w:ind w:right="325" w:rightChars="155"/>
              <w:jc w:val="left"/>
              <w:rPr>
                <w:rFonts w:ascii="宋体" w:hAnsi="宋体"/>
                <w:kern w:val="0"/>
              </w:rPr>
            </w:pPr>
            <w:r>
              <w:rPr>
                <w:rFonts w:hint="eastAsia" w:ascii="宋体" w:hAnsi="宋体"/>
                <w:kern w:val="0"/>
              </w:rPr>
              <w:t>个别沟通、会议、报告</w:t>
            </w:r>
          </w:p>
        </w:tc>
      </w:tr>
      <w:tr w14:paraId="04780E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restart"/>
            <w:vAlign w:val="center"/>
          </w:tcPr>
          <w:p w14:paraId="63C7DC5A">
            <w:pPr>
              <w:spacing w:line="360" w:lineRule="auto"/>
              <w:ind w:right="31" w:rightChars="15"/>
              <w:jc w:val="center"/>
              <w:rPr>
                <w:rFonts w:ascii="宋体" w:hAnsi="宋体" w:cs="Calibri"/>
                <w:b/>
                <w:color w:val="000000"/>
                <w:szCs w:val="21"/>
              </w:rPr>
            </w:pPr>
            <w:r>
              <w:rPr>
                <w:rFonts w:hint="eastAsia" w:ascii="宋体" w:hAnsi="宋体" w:cs="Calibri"/>
                <w:b/>
                <w:color w:val="000000"/>
                <w:szCs w:val="21"/>
              </w:rPr>
              <w:t>客 户</w:t>
            </w:r>
          </w:p>
        </w:tc>
        <w:tc>
          <w:tcPr>
            <w:tcW w:w="7400" w:type="dxa"/>
            <w:vAlign w:val="center"/>
          </w:tcPr>
          <w:p w14:paraId="3B80A706">
            <w:pPr>
              <w:pStyle w:val="584"/>
              <w:spacing w:line="276" w:lineRule="auto"/>
              <w:ind w:right="325" w:rightChars="155"/>
              <w:jc w:val="left"/>
              <w:rPr>
                <w:rFonts w:ascii="宋体" w:hAnsi="宋体"/>
                <w:color w:val="auto"/>
                <w:kern w:val="0"/>
              </w:rPr>
            </w:pPr>
            <w:r>
              <w:rPr>
                <w:rFonts w:ascii="宋体" w:hAnsi="宋体"/>
                <w:color w:val="auto"/>
                <w:kern w:val="0"/>
              </w:rPr>
              <w:t>高层拜访、电话沟通、顾客访谈、</w:t>
            </w:r>
            <w:r>
              <w:rPr>
                <w:rFonts w:hint="eastAsia" w:ascii="宋体" w:hAnsi="宋体"/>
                <w:color w:val="auto"/>
                <w:kern w:val="0"/>
              </w:rPr>
              <w:t>顾客满意度调查</w:t>
            </w:r>
          </w:p>
        </w:tc>
      </w:tr>
      <w:tr w14:paraId="05339D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4CA46A49">
            <w:pPr>
              <w:spacing w:line="360" w:lineRule="auto"/>
              <w:ind w:right="31" w:rightChars="15"/>
              <w:jc w:val="center"/>
              <w:rPr>
                <w:rFonts w:ascii="宋体" w:hAnsi="宋体" w:cs="Calibri"/>
                <w:b/>
                <w:color w:val="000000"/>
                <w:szCs w:val="21"/>
              </w:rPr>
            </w:pPr>
          </w:p>
        </w:tc>
        <w:tc>
          <w:tcPr>
            <w:tcW w:w="7400" w:type="dxa"/>
            <w:vAlign w:val="center"/>
          </w:tcPr>
          <w:p w14:paraId="015EC734">
            <w:pPr>
              <w:pStyle w:val="584"/>
              <w:spacing w:line="276" w:lineRule="auto"/>
              <w:ind w:right="325" w:rightChars="155"/>
              <w:jc w:val="left"/>
              <w:rPr>
                <w:rFonts w:ascii="宋体" w:hAnsi="宋体"/>
                <w:color w:val="auto"/>
                <w:kern w:val="0"/>
              </w:rPr>
            </w:pPr>
            <w:r>
              <w:rPr>
                <w:rFonts w:ascii="宋体" w:hAnsi="宋体"/>
                <w:color w:val="auto"/>
                <w:kern w:val="0"/>
              </w:rPr>
              <w:t>公司宣传册、公司网站、宣传栏、</w:t>
            </w:r>
            <w:r>
              <w:rPr>
                <w:rFonts w:hint="eastAsia" w:ascii="宋体" w:hAnsi="宋体"/>
                <w:color w:val="auto"/>
                <w:kern w:val="0"/>
              </w:rPr>
              <w:t>各种</w:t>
            </w:r>
            <w:r>
              <w:rPr>
                <w:rFonts w:ascii="宋体" w:hAnsi="宋体"/>
                <w:color w:val="auto"/>
                <w:kern w:val="0"/>
              </w:rPr>
              <w:t>展会</w:t>
            </w:r>
            <w:r>
              <w:rPr>
                <w:rFonts w:hint="eastAsia" w:ascii="宋体" w:hAnsi="宋体"/>
                <w:color w:val="auto"/>
                <w:kern w:val="0"/>
              </w:rPr>
              <w:t>等</w:t>
            </w:r>
          </w:p>
        </w:tc>
      </w:tr>
      <w:tr w14:paraId="17FD75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5CFE9914">
            <w:pPr>
              <w:spacing w:line="360" w:lineRule="auto"/>
              <w:ind w:right="31" w:rightChars="15"/>
              <w:jc w:val="center"/>
              <w:rPr>
                <w:rFonts w:ascii="宋体" w:hAnsi="宋体" w:cs="Calibri"/>
                <w:b/>
                <w:color w:val="000000"/>
                <w:szCs w:val="21"/>
              </w:rPr>
            </w:pPr>
          </w:p>
        </w:tc>
        <w:tc>
          <w:tcPr>
            <w:tcW w:w="7400" w:type="dxa"/>
            <w:vAlign w:val="center"/>
          </w:tcPr>
          <w:p w14:paraId="2CDD31BA">
            <w:pPr>
              <w:autoSpaceDE w:val="0"/>
              <w:autoSpaceDN w:val="0"/>
              <w:adjustRightInd w:val="0"/>
              <w:spacing w:line="276" w:lineRule="auto"/>
              <w:ind w:right="325" w:rightChars="155"/>
              <w:jc w:val="left"/>
              <w:rPr>
                <w:rFonts w:ascii="宋体" w:hAnsi="宋体"/>
                <w:kern w:val="0"/>
              </w:rPr>
            </w:pPr>
            <w:r>
              <w:rPr>
                <w:rFonts w:ascii="宋体" w:hAnsi="宋体"/>
                <w:kern w:val="0"/>
              </w:rPr>
              <w:t>新产品培训、技术服务培训、行业高峰论坛</w:t>
            </w:r>
            <w:r>
              <w:rPr>
                <w:rFonts w:hint="eastAsia" w:ascii="宋体" w:hAnsi="宋体"/>
                <w:kern w:val="0"/>
              </w:rPr>
              <w:t>等</w:t>
            </w:r>
          </w:p>
        </w:tc>
      </w:tr>
      <w:tr w14:paraId="1C85C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restart"/>
            <w:vAlign w:val="center"/>
          </w:tcPr>
          <w:p w14:paraId="2D79DDCC">
            <w:pPr>
              <w:spacing w:line="360" w:lineRule="auto"/>
              <w:ind w:right="31" w:rightChars="15"/>
              <w:jc w:val="center"/>
              <w:rPr>
                <w:rFonts w:ascii="宋体" w:hAnsi="宋体" w:cs="Calibri"/>
                <w:b/>
                <w:color w:val="000000"/>
                <w:szCs w:val="21"/>
              </w:rPr>
            </w:pPr>
            <w:r>
              <w:rPr>
                <w:rFonts w:hint="eastAsia" w:ascii="宋体" w:hAnsi="宋体" w:cs="Calibri"/>
                <w:b/>
                <w:color w:val="000000"/>
                <w:szCs w:val="21"/>
              </w:rPr>
              <w:t>供 方</w:t>
            </w:r>
          </w:p>
        </w:tc>
        <w:tc>
          <w:tcPr>
            <w:tcW w:w="7400" w:type="dxa"/>
            <w:vAlign w:val="center"/>
          </w:tcPr>
          <w:p w14:paraId="4672EB67">
            <w:pPr>
              <w:autoSpaceDE w:val="0"/>
              <w:autoSpaceDN w:val="0"/>
              <w:adjustRightInd w:val="0"/>
              <w:spacing w:line="276" w:lineRule="auto"/>
              <w:jc w:val="left"/>
              <w:rPr>
                <w:rFonts w:ascii="宋体" w:hAnsi="宋体"/>
                <w:kern w:val="0"/>
              </w:rPr>
            </w:pPr>
            <w:r>
              <w:rPr>
                <w:rFonts w:ascii="宋体" w:hAnsi="宋体"/>
                <w:kern w:val="0"/>
              </w:rPr>
              <w:t>供应商大会、互相拜访、电话沟通、供应商</w:t>
            </w:r>
            <w:r>
              <w:rPr>
                <w:rFonts w:hint="eastAsia" w:ascii="宋体" w:hAnsi="宋体"/>
                <w:kern w:val="0"/>
              </w:rPr>
              <w:t>考察</w:t>
            </w:r>
            <w:r>
              <w:rPr>
                <w:rFonts w:ascii="宋体" w:hAnsi="宋体"/>
                <w:kern w:val="0"/>
              </w:rPr>
              <w:t>、电子邮件、合同、协议</w:t>
            </w:r>
            <w:r>
              <w:rPr>
                <w:rFonts w:hint="eastAsia" w:ascii="宋体" w:hAnsi="宋体"/>
                <w:kern w:val="0"/>
              </w:rPr>
              <w:t>等</w:t>
            </w:r>
          </w:p>
        </w:tc>
      </w:tr>
      <w:tr w14:paraId="61A85A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7A14880D">
            <w:pPr>
              <w:spacing w:line="360" w:lineRule="auto"/>
              <w:ind w:right="325" w:rightChars="155"/>
              <w:jc w:val="center"/>
              <w:rPr>
                <w:rFonts w:ascii="宋体" w:hAnsi="宋体" w:cs="Calibri"/>
                <w:b/>
                <w:color w:val="000000"/>
                <w:szCs w:val="21"/>
              </w:rPr>
            </w:pPr>
          </w:p>
        </w:tc>
        <w:tc>
          <w:tcPr>
            <w:tcW w:w="7400" w:type="dxa"/>
            <w:vAlign w:val="center"/>
          </w:tcPr>
          <w:p w14:paraId="187885E5">
            <w:pPr>
              <w:autoSpaceDE w:val="0"/>
              <w:autoSpaceDN w:val="0"/>
              <w:adjustRightInd w:val="0"/>
              <w:spacing w:line="276" w:lineRule="auto"/>
              <w:ind w:right="325" w:rightChars="155"/>
              <w:jc w:val="left"/>
              <w:rPr>
                <w:rFonts w:ascii="宋体" w:hAnsi="宋体"/>
                <w:kern w:val="0"/>
              </w:rPr>
            </w:pPr>
            <w:r>
              <w:rPr>
                <w:rFonts w:ascii="宋体" w:hAnsi="宋体"/>
                <w:kern w:val="0"/>
              </w:rPr>
              <w:t>公司宣传册、公司网站</w:t>
            </w:r>
            <w:r>
              <w:rPr>
                <w:rFonts w:hint="eastAsia" w:ascii="宋体" w:hAnsi="宋体"/>
                <w:kern w:val="0"/>
              </w:rPr>
              <w:t>等</w:t>
            </w:r>
          </w:p>
        </w:tc>
      </w:tr>
      <w:tr w14:paraId="07616C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15E3FED4">
            <w:pPr>
              <w:spacing w:line="360" w:lineRule="auto"/>
              <w:ind w:right="325" w:rightChars="155"/>
              <w:jc w:val="center"/>
              <w:rPr>
                <w:rFonts w:ascii="宋体" w:hAnsi="宋体" w:cs="Calibri"/>
                <w:b/>
                <w:color w:val="000000"/>
                <w:szCs w:val="21"/>
              </w:rPr>
            </w:pPr>
          </w:p>
        </w:tc>
        <w:tc>
          <w:tcPr>
            <w:tcW w:w="7400" w:type="dxa"/>
            <w:vAlign w:val="center"/>
          </w:tcPr>
          <w:p w14:paraId="0727461B">
            <w:pPr>
              <w:autoSpaceDE w:val="0"/>
              <w:autoSpaceDN w:val="0"/>
              <w:adjustRightInd w:val="0"/>
              <w:spacing w:line="276" w:lineRule="auto"/>
              <w:ind w:right="325" w:rightChars="155"/>
              <w:jc w:val="left"/>
              <w:rPr>
                <w:rFonts w:ascii="宋体" w:hAnsi="宋体"/>
                <w:kern w:val="0"/>
              </w:rPr>
            </w:pPr>
            <w:r>
              <w:rPr>
                <w:rFonts w:ascii="宋体" w:hAnsi="宋体"/>
                <w:kern w:val="0"/>
              </w:rPr>
              <w:t>技术沟通、技术支持、品质沟通</w:t>
            </w:r>
            <w:r>
              <w:rPr>
                <w:rFonts w:hint="eastAsia" w:ascii="宋体" w:hAnsi="宋体"/>
                <w:kern w:val="0"/>
              </w:rPr>
              <w:t>、供应商满意度调查等</w:t>
            </w:r>
          </w:p>
        </w:tc>
      </w:tr>
      <w:tr w14:paraId="08DB4B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Align w:val="center"/>
          </w:tcPr>
          <w:p w14:paraId="1C0C16F7">
            <w:pPr>
              <w:autoSpaceDE w:val="0"/>
              <w:autoSpaceDN w:val="0"/>
              <w:adjustRightInd w:val="0"/>
              <w:ind w:right="34" w:rightChars="16"/>
              <w:jc w:val="left"/>
              <w:rPr>
                <w:rFonts w:ascii="宋体" w:hAnsi="宋体" w:cs="Calibri"/>
                <w:b/>
                <w:color w:val="000000"/>
                <w:szCs w:val="21"/>
              </w:rPr>
            </w:pPr>
            <w:r>
              <w:rPr>
                <w:rFonts w:hint="eastAsia" w:ascii="宋体" w:hAnsi="宋体" w:cs="Calibri"/>
                <w:b/>
                <w:color w:val="000000"/>
                <w:szCs w:val="21"/>
              </w:rPr>
              <w:t>政府、社会公众</w:t>
            </w:r>
          </w:p>
        </w:tc>
        <w:tc>
          <w:tcPr>
            <w:tcW w:w="7400" w:type="dxa"/>
            <w:vAlign w:val="center"/>
          </w:tcPr>
          <w:p w14:paraId="04D926FA">
            <w:pPr>
              <w:autoSpaceDE w:val="0"/>
              <w:autoSpaceDN w:val="0"/>
              <w:adjustRightInd w:val="0"/>
              <w:spacing w:line="276" w:lineRule="auto"/>
              <w:ind w:right="325" w:rightChars="155"/>
              <w:jc w:val="left"/>
              <w:rPr>
                <w:rFonts w:ascii="宋体" w:hAnsi="宋体"/>
                <w:kern w:val="0"/>
              </w:rPr>
            </w:pPr>
            <w:r>
              <w:rPr>
                <w:rFonts w:hint="eastAsia" w:ascii="宋体" w:hAnsi="宋体"/>
                <w:kern w:val="0"/>
              </w:rPr>
              <w:t>工作汇报、参观指导、公益活动、慈善捐赠、公司网站等</w:t>
            </w:r>
          </w:p>
        </w:tc>
      </w:tr>
    </w:tbl>
    <w:p w14:paraId="0FB7B863">
      <w:pPr>
        <w:rPr>
          <w:rFonts w:ascii="宋体" w:hAnsi="宋体"/>
          <w:b/>
          <w:sz w:val="32"/>
          <w:szCs w:val="32"/>
        </w:rPr>
      </w:pPr>
      <w:r>
        <w:rPr>
          <w:rFonts w:hint="eastAsia" w:ascii="宋体" w:hAnsi="宋体"/>
          <w:b/>
          <w:sz w:val="32"/>
          <w:szCs w:val="32"/>
        </w:rPr>
        <w:br w:type="page"/>
      </w:r>
    </w:p>
    <w:p w14:paraId="253063DE">
      <w:pPr>
        <w:tabs>
          <w:tab w:val="left" w:pos="2966"/>
        </w:tabs>
        <w:spacing w:line="360" w:lineRule="auto"/>
        <w:ind w:right="325" w:rightChars="155"/>
        <w:jc w:val="center"/>
        <w:outlineLvl w:val="0"/>
        <w:rPr>
          <w:rFonts w:ascii="宋体" w:hAnsi="宋体"/>
          <w:b/>
          <w:sz w:val="32"/>
          <w:szCs w:val="32"/>
        </w:rPr>
      </w:pPr>
      <w:bookmarkStart w:id="11" w:name="_Toc30327"/>
      <w:r>
        <w:rPr>
          <w:rFonts w:hint="eastAsia" w:ascii="宋体" w:hAnsi="宋体"/>
          <w:b/>
          <w:sz w:val="32"/>
          <w:szCs w:val="32"/>
        </w:rPr>
        <w:t>二、社会责任绩效</w:t>
      </w:r>
      <w:bookmarkEnd w:id="11"/>
    </w:p>
    <w:p w14:paraId="1A87F108">
      <w:pPr>
        <w:pStyle w:val="141"/>
        <w:adjustRightInd w:val="0"/>
        <w:snapToGrid w:val="0"/>
        <w:spacing w:before="156" w:beforeLines="50" w:line="360" w:lineRule="auto"/>
        <w:ind w:right="325" w:rightChars="155"/>
        <w:outlineLvl w:val="1"/>
        <w:rPr>
          <w:rFonts w:ascii="宋体" w:hAnsi="宋体"/>
          <w:b/>
          <w:sz w:val="24"/>
        </w:rPr>
      </w:pPr>
      <w:bookmarkStart w:id="12" w:name="_Toc13569"/>
      <w:r>
        <w:rPr>
          <w:rFonts w:hint="eastAsia" w:ascii="宋体" w:hAnsi="宋体"/>
          <w:b/>
          <w:sz w:val="24"/>
        </w:rPr>
        <w:t>1、社会责任履行情况</w:t>
      </w:r>
      <w:bookmarkEnd w:id="12"/>
    </w:p>
    <w:p w14:paraId="404BFE73">
      <w:pPr>
        <w:spacing w:line="312" w:lineRule="auto"/>
        <w:ind w:firstLine="420" w:firstLineChars="200"/>
        <w:rPr>
          <w:rFonts w:ascii="宋体" w:hAnsi="宋体" w:cs="Arial"/>
          <w:bCs/>
          <w:szCs w:val="21"/>
        </w:rPr>
      </w:pPr>
      <w:r>
        <w:rPr>
          <w:rFonts w:hint="eastAsia" w:ascii="宋体" w:hAnsi="宋体" w:cs="Arial"/>
          <w:bCs/>
          <w:szCs w:val="21"/>
        </w:rPr>
        <w:t>公司自成立伊始就一直以“节能减排，保护环境”为己任，近年来，公司积极建设资源节约、环境友好型企业。公司全面贯彻落实科学发展观，坚持在发展中兼顾经济效益与社会效益，在实践中为股东、员工、顾客、供方、合作伙伴和社会创造价值，促进经济、环境、社会的和谐可持续发展。</w:t>
      </w:r>
    </w:p>
    <w:p w14:paraId="2E518BB4">
      <w:pPr>
        <w:adjustRightInd w:val="0"/>
        <w:spacing w:before="156" w:beforeLines="50"/>
        <w:jc w:val="center"/>
        <w:rPr>
          <w:rFonts w:ascii="宋体" w:hAnsi="宋体"/>
          <w:b/>
          <w:kern w:val="0"/>
          <w:szCs w:val="21"/>
        </w:rPr>
      </w:pPr>
      <w:r>
        <w:rPr>
          <w:rFonts w:hint="eastAsia" w:ascii="宋体" w:hAnsi="宋体"/>
          <w:b/>
          <w:color w:val="000000"/>
          <w:szCs w:val="21"/>
        </w:rPr>
        <w:t xml:space="preserve">图表6 </w:t>
      </w:r>
      <w:r>
        <w:rPr>
          <w:rFonts w:ascii="宋体" w:hAnsi="宋体"/>
          <w:b/>
          <w:kern w:val="0"/>
          <w:szCs w:val="21"/>
        </w:rPr>
        <w:t>相关方利益的保护</w:t>
      </w:r>
      <w:r>
        <w:rPr>
          <w:rFonts w:hint="eastAsia" w:ascii="宋体" w:hAnsi="宋体"/>
          <w:b/>
          <w:kern w:val="0"/>
          <w:szCs w:val="21"/>
        </w:rPr>
        <w:t>措施</w:t>
      </w:r>
    </w:p>
    <w:tbl>
      <w:tblPr>
        <w:tblStyle w:val="88"/>
        <w:tblW w:w="90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7096"/>
      </w:tblGrid>
      <w:tr w14:paraId="297E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985" w:type="dxa"/>
            <w:shd w:val="clear" w:color="auto" w:fill="DCE6F2" w:themeFill="accent1" w:themeFillTint="32"/>
            <w:vAlign w:val="center"/>
          </w:tcPr>
          <w:p w14:paraId="23F911EA">
            <w:pPr>
              <w:adjustRightInd w:val="0"/>
              <w:snapToGrid w:val="0"/>
              <w:ind w:left="-708" w:leftChars="-337" w:right="325" w:rightChars="155"/>
              <w:jc w:val="center"/>
              <w:rPr>
                <w:rFonts w:ascii="宋体" w:hAnsi="宋体"/>
                <w:b/>
                <w:kern w:val="0"/>
                <w:szCs w:val="21"/>
              </w:rPr>
            </w:pPr>
            <w:r>
              <w:rPr>
                <w:rFonts w:hint="eastAsia" w:ascii="宋体" w:hAnsi="宋体"/>
                <w:b/>
                <w:kern w:val="0"/>
                <w:szCs w:val="21"/>
              </w:rPr>
              <w:t xml:space="preserve">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相关方</w:t>
            </w:r>
          </w:p>
        </w:tc>
        <w:tc>
          <w:tcPr>
            <w:tcW w:w="7096" w:type="dxa"/>
            <w:shd w:val="clear" w:color="auto" w:fill="DCE6F2" w:themeFill="accent1" w:themeFillTint="32"/>
            <w:vAlign w:val="center"/>
          </w:tcPr>
          <w:p w14:paraId="2047BAC9">
            <w:pPr>
              <w:adjustRightInd w:val="0"/>
              <w:snapToGrid w:val="0"/>
              <w:ind w:left="-708" w:leftChars="-337" w:right="325" w:rightChars="155"/>
              <w:jc w:val="center"/>
              <w:rPr>
                <w:rFonts w:ascii="宋体" w:hAnsi="宋体"/>
                <w:b/>
                <w:kern w:val="0"/>
                <w:szCs w:val="21"/>
              </w:rPr>
            </w:pPr>
            <w:r>
              <w:rPr>
                <w:rFonts w:ascii="宋体" w:hAnsi="宋体"/>
                <w:b/>
                <w:kern w:val="0"/>
                <w:szCs w:val="21"/>
              </w:rPr>
              <w:t>具体措施</w:t>
            </w:r>
          </w:p>
        </w:tc>
      </w:tr>
      <w:tr w14:paraId="1FEB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5" w:type="dxa"/>
            <w:vAlign w:val="center"/>
          </w:tcPr>
          <w:p w14:paraId="45B0134C">
            <w:pPr>
              <w:adjustRightInd w:val="0"/>
              <w:snapToGrid w:val="0"/>
              <w:spacing w:line="276" w:lineRule="auto"/>
              <w:jc w:val="center"/>
              <w:rPr>
                <w:rFonts w:ascii="宋体" w:hAnsi="宋体"/>
                <w:b/>
                <w:color w:val="000000"/>
                <w:kern w:val="0"/>
                <w:szCs w:val="21"/>
              </w:rPr>
            </w:pPr>
            <w:r>
              <w:rPr>
                <w:rFonts w:ascii="宋体" w:hAnsi="宋体"/>
                <w:b/>
                <w:color w:val="000000"/>
                <w:kern w:val="0"/>
                <w:szCs w:val="21"/>
              </w:rPr>
              <w:t>股</w:t>
            </w:r>
            <w:r>
              <w:rPr>
                <w:rFonts w:hint="eastAsia" w:ascii="宋体" w:hAnsi="宋体"/>
                <w:b/>
                <w:color w:val="000000"/>
                <w:kern w:val="0"/>
                <w:szCs w:val="21"/>
              </w:rPr>
              <w:t xml:space="preserve"> </w:t>
            </w:r>
            <w:r>
              <w:rPr>
                <w:rFonts w:ascii="宋体" w:hAnsi="宋体"/>
                <w:b/>
                <w:color w:val="000000"/>
                <w:kern w:val="0"/>
                <w:szCs w:val="21"/>
              </w:rPr>
              <w:t>东</w:t>
            </w:r>
          </w:p>
        </w:tc>
        <w:tc>
          <w:tcPr>
            <w:tcW w:w="7096" w:type="dxa"/>
            <w:vAlign w:val="center"/>
          </w:tcPr>
          <w:p w14:paraId="4CEB03D3">
            <w:pPr>
              <w:adjustRightInd w:val="0"/>
              <w:spacing w:line="276" w:lineRule="auto"/>
              <w:ind w:right="42" w:rightChars="20"/>
              <w:rPr>
                <w:rFonts w:ascii="宋体" w:hAnsi="宋体"/>
                <w:color w:val="000000"/>
                <w:kern w:val="0"/>
                <w:szCs w:val="21"/>
              </w:rPr>
            </w:pPr>
            <w:r>
              <w:rPr>
                <w:rFonts w:ascii="宋体" w:hAnsi="宋体"/>
                <w:color w:val="000000"/>
                <w:kern w:val="0"/>
                <w:szCs w:val="21"/>
              </w:rPr>
              <w:t>通过年初生产经营目标和指标，确定盈余公积等的计提比例和利润分配方案，确定股东收益分配</w:t>
            </w:r>
          </w:p>
        </w:tc>
      </w:tr>
      <w:tr w14:paraId="2797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5" w:type="dxa"/>
            <w:vAlign w:val="center"/>
          </w:tcPr>
          <w:p w14:paraId="5D94CEFA">
            <w:pPr>
              <w:adjustRightInd w:val="0"/>
              <w:snapToGrid w:val="0"/>
              <w:spacing w:line="276" w:lineRule="auto"/>
              <w:jc w:val="center"/>
              <w:rPr>
                <w:rFonts w:ascii="宋体" w:hAnsi="宋体"/>
                <w:b/>
                <w:kern w:val="0"/>
                <w:szCs w:val="21"/>
              </w:rPr>
            </w:pPr>
            <w:r>
              <w:rPr>
                <w:rFonts w:ascii="宋体" w:hAnsi="宋体"/>
                <w:b/>
                <w:kern w:val="0"/>
                <w:szCs w:val="21"/>
              </w:rPr>
              <w:t>员</w:t>
            </w:r>
            <w:r>
              <w:rPr>
                <w:rFonts w:hint="eastAsia" w:ascii="宋体" w:hAnsi="宋体"/>
                <w:b/>
                <w:kern w:val="0"/>
                <w:szCs w:val="21"/>
              </w:rPr>
              <w:t xml:space="preserve"> </w:t>
            </w:r>
            <w:r>
              <w:rPr>
                <w:rFonts w:ascii="宋体" w:hAnsi="宋体"/>
                <w:b/>
                <w:kern w:val="0"/>
                <w:szCs w:val="21"/>
              </w:rPr>
              <w:t>工</w:t>
            </w:r>
          </w:p>
        </w:tc>
        <w:tc>
          <w:tcPr>
            <w:tcW w:w="7096" w:type="dxa"/>
            <w:vAlign w:val="center"/>
          </w:tcPr>
          <w:p w14:paraId="5D5F57A9">
            <w:pPr>
              <w:adjustRightInd w:val="0"/>
              <w:spacing w:line="276" w:lineRule="auto"/>
              <w:ind w:right="42" w:rightChars="20"/>
              <w:rPr>
                <w:rFonts w:ascii="宋体" w:hAnsi="宋体"/>
                <w:color w:val="000000"/>
                <w:kern w:val="0"/>
                <w:szCs w:val="21"/>
              </w:rPr>
            </w:pPr>
            <w:r>
              <w:rPr>
                <w:rFonts w:hint="eastAsia" w:ascii="宋体" w:hAnsi="宋体"/>
                <w:color w:val="000000"/>
                <w:kern w:val="0"/>
                <w:szCs w:val="21"/>
              </w:rPr>
              <w:t>定期举行员工座谈会</w:t>
            </w:r>
            <w:r>
              <w:rPr>
                <w:rFonts w:ascii="宋体" w:hAnsi="宋体"/>
                <w:color w:val="000000"/>
                <w:kern w:val="0"/>
                <w:szCs w:val="21"/>
              </w:rPr>
              <w:t>；</w:t>
            </w:r>
          </w:p>
          <w:p w14:paraId="4CAAC3DF">
            <w:pPr>
              <w:adjustRightInd w:val="0"/>
              <w:spacing w:line="276" w:lineRule="auto"/>
              <w:ind w:right="42" w:rightChars="20"/>
              <w:rPr>
                <w:rFonts w:ascii="宋体" w:hAnsi="宋体"/>
                <w:color w:val="000000"/>
                <w:kern w:val="0"/>
                <w:szCs w:val="21"/>
              </w:rPr>
            </w:pPr>
            <w:r>
              <w:rPr>
                <w:rFonts w:ascii="宋体" w:hAnsi="宋体"/>
                <w:color w:val="000000"/>
                <w:kern w:val="0"/>
                <w:szCs w:val="21"/>
              </w:rPr>
              <w:t>实行收入分配公开，对各部门的绩效薪酬分配过程和结果公开；</w:t>
            </w:r>
          </w:p>
          <w:p w14:paraId="0596A4D6">
            <w:pPr>
              <w:adjustRightInd w:val="0"/>
              <w:spacing w:line="276" w:lineRule="auto"/>
              <w:ind w:right="42" w:rightChars="20"/>
              <w:rPr>
                <w:rFonts w:ascii="宋体" w:hAnsi="宋体"/>
                <w:color w:val="000000"/>
                <w:kern w:val="0"/>
                <w:szCs w:val="21"/>
              </w:rPr>
            </w:pPr>
            <w:r>
              <w:rPr>
                <w:rFonts w:ascii="宋体" w:hAnsi="宋体"/>
                <w:color w:val="000000"/>
                <w:kern w:val="0"/>
                <w:szCs w:val="21"/>
              </w:rPr>
              <w:t>实现</w:t>
            </w:r>
            <w:r>
              <w:rPr>
                <w:rFonts w:hint="eastAsia" w:ascii="宋体" w:hAnsi="宋体"/>
                <w:color w:val="000000"/>
                <w:kern w:val="0"/>
                <w:szCs w:val="21"/>
              </w:rPr>
              <w:t>“</w:t>
            </w:r>
            <w:r>
              <w:rPr>
                <w:rFonts w:ascii="宋体" w:hAnsi="宋体"/>
                <w:color w:val="000000"/>
                <w:kern w:val="0"/>
                <w:szCs w:val="21"/>
              </w:rPr>
              <w:t>五险</w:t>
            </w:r>
            <w:r>
              <w:rPr>
                <w:rFonts w:hint="eastAsia" w:ascii="宋体" w:hAnsi="宋体"/>
                <w:color w:val="000000"/>
                <w:kern w:val="0"/>
                <w:szCs w:val="21"/>
              </w:rPr>
              <w:t>”</w:t>
            </w:r>
            <w:r>
              <w:rPr>
                <w:rFonts w:ascii="宋体" w:hAnsi="宋体"/>
                <w:color w:val="000000"/>
                <w:kern w:val="0"/>
                <w:szCs w:val="21"/>
              </w:rPr>
              <w:t>、劳动合同、集体合同、带薪年休假100%</w:t>
            </w:r>
          </w:p>
        </w:tc>
      </w:tr>
      <w:tr w14:paraId="3E53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5" w:type="dxa"/>
            <w:vAlign w:val="center"/>
          </w:tcPr>
          <w:p w14:paraId="442C9B75">
            <w:pPr>
              <w:adjustRightInd w:val="0"/>
              <w:snapToGrid w:val="0"/>
              <w:spacing w:line="276" w:lineRule="auto"/>
              <w:jc w:val="center"/>
              <w:rPr>
                <w:rFonts w:ascii="宋体" w:hAnsi="宋体"/>
                <w:b/>
                <w:kern w:val="0"/>
                <w:szCs w:val="21"/>
              </w:rPr>
            </w:pPr>
            <w:r>
              <w:rPr>
                <w:rFonts w:ascii="宋体" w:hAnsi="宋体"/>
                <w:b/>
                <w:kern w:val="0"/>
                <w:szCs w:val="21"/>
              </w:rPr>
              <w:t>顾</w:t>
            </w:r>
            <w:r>
              <w:rPr>
                <w:rFonts w:hint="eastAsia" w:ascii="宋体" w:hAnsi="宋体"/>
                <w:b/>
                <w:kern w:val="0"/>
                <w:szCs w:val="21"/>
              </w:rPr>
              <w:t xml:space="preserve"> </w:t>
            </w:r>
            <w:r>
              <w:rPr>
                <w:rFonts w:ascii="宋体" w:hAnsi="宋体"/>
                <w:b/>
                <w:kern w:val="0"/>
                <w:szCs w:val="21"/>
              </w:rPr>
              <w:t>客</w:t>
            </w:r>
          </w:p>
        </w:tc>
        <w:tc>
          <w:tcPr>
            <w:tcW w:w="7096" w:type="dxa"/>
            <w:vAlign w:val="center"/>
          </w:tcPr>
          <w:p w14:paraId="0DE8A3B2">
            <w:pPr>
              <w:adjustRightInd w:val="0"/>
              <w:spacing w:line="276" w:lineRule="auto"/>
              <w:ind w:right="42" w:rightChars="20"/>
              <w:rPr>
                <w:rFonts w:ascii="宋体" w:hAnsi="宋体"/>
                <w:color w:val="000000"/>
                <w:kern w:val="0"/>
                <w:szCs w:val="21"/>
              </w:rPr>
            </w:pPr>
            <w:r>
              <w:rPr>
                <w:rFonts w:ascii="宋体" w:hAnsi="宋体"/>
                <w:color w:val="000000"/>
                <w:kern w:val="0"/>
                <w:szCs w:val="21"/>
              </w:rPr>
              <w:t>对于主要客户，公司所有技术创新及成本控制的成果与顾客共享；</w:t>
            </w:r>
          </w:p>
          <w:p w14:paraId="2D09F4B8">
            <w:pPr>
              <w:adjustRightInd w:val="0"/>
              <w:spacing w:line="276" w:lineRule="auto"/>
              <w:ind w:right="42" w:rightChars="20"/>
              <w:rPr>
                <w:rFonts w:ascii="宋体" w:hAnsi="宋体"/>
                <w:color w:val="000000"/>
                <w:kern w:val="0"/>
                <w:szCs w:val="21"/>
              </w:rPr>
            </w:pPr>
            <w:r>
              <w:rPr>
                <w:rFonts w:ascii="宋体" w:hAnsi="宋体"/>
                <w:color w:val="000000"/>
                <w:kern w:val="0"/>
                <w:szCs w:val="21"/>
              </w:rPr>
              <w:t>设立客户投诉受理渠道，受理客户对服务和产品质量方面的投诉；</w:t>
            </w:r>
          </w:p>
          <w:p w14:paraId="2C748417">
            <w:pPr>
              <w:adjustRightInd w:val="0"/>
              <w:spacing w:line="276" w:lineRule="auto"/>
              <w:ind w:right="42" w:rightChars="20"/>
              <w:rPr>
                <w:rFonts w:ascii="宋体" w:hAnsi="宋体"/>
                <w:color w:val="000000"/>
                <w:kern w:val="0"/>
                <w:szCs w:val="21"/>
              </w:rPr>
            </w:pPr>
            <w:r>
              <w:rPr>
                <w:rFonts w:hint="eastAsia" w:ascii="宋体" w:hAnsi="宋体"/>
                <w:color w:val="000000"/>
                <w:kern w:val="0"/>
                <w:szCs w:val="21"/>
              </w:rPr>
              <w:t>建设完善</w:t>
            </w:r>
            <w:r>
              <w:rPr>
                <w:rFonts w:ascii="宋体" w:hAnsi="宋体"/>
                <w:color w:val="000000"/>
                <w:kern w:val="0"/>
                <w:szCs w:val="21"/>
              </w:rPr>
              <w:t>售后服务</w:t>
            </w:r>
            <w:r>
              <w:rPr>
                <w:rFonts w:hint="eastAsia" w:ascii="宋体" w:hAnsi="宋体"/>
                <w:color w:val="000000"/>
                <w:kern w:val="0"/>
                <w:szCs w:val="21"/>
              </w:rPr>
              <w:t>体系</w:t>
            </w:r>
            <w:r>
              <w:rPr>
                <w:rFonts w:ascii="宋体" w:hAnsi="宋体"/>
                <w:color w:val="000000"/>
                <w:kern w:val="0"/>
                <w:szCs w:val="21"/>
              </w:rPr>
              <w:t>，实现产品销售与售后服务的无缝对接</w:t>
            </w:r>
          </w:p>
        </w:tc>
      </w:tr>
      <w:tr w14:paraId="4556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5" w:type="dxa"/>
            <w:vAlign w:val="center"/>
          </w:tcPr>
          <w:p w14:paraId="662479C3">
            <w:pPr>
              <w:adjustRightInd w:val="0"/>
              <w:snapToGrid w:val="0"/>
              <w:spacing w:line="276" w:lineRule="auto"/>
              <w:jc w:val="center"/>
              <w:rPr>
                <w:rFonts w:ascii="宋体" w:hAnsi="宋体"/>
                <w:b/>
                <w:kern w:val="0"/>
                <w:szCs w:val="21"/>
              </w:rPr>
            </w:pPr>
            <w:r>
              <w:rPr>
                <w:rFonts w:ascii="宋体" w:hAnsi="宋体"/>
                <w:b/>
                <w:kern w:val="0"/>
                <w:szCs w:val="21"/>
              </w:rPr>
              <w:t>供应商</w:t>
            </w:r>
          </w:p>
        </w:tc>
        <w:tc>
          <w:tcPr>
            <w:tcW w:w="7096" w:type="dxa"/>
            <w:vAlign w:val="center"/>
          </w:tcPr>
          <w:p w14:paraId="6276521B">
            <w:pPr>
              <w:adjustRightInd w:val="0"/>
              <w:spacing w:line="276" w:lineRule="auto"/>
              <w:ind w:right="42" w:rightChars="20"/>
              <w:rPr>
                <w:rFonts w:ascii="宋体" w:hAnsi="宋体"/>
                <w:color w:val="000000"/>
                <w:kern w:val="0"/>
                <w:szCs w:val="21"/>
              </w:rPr>
            </w:pPr>
            <w:r>
              <w:rPr>
                <w:rFonts w:ascii="宋体" w:hAnsi="宋体"/>
                <w:color w:val="000000"/>
                <w:kern w:val="0"/>
                <w:szCs w:val="21"/>
              </w:rPr>
              <w:t>对主要供应商实行技术、资金和管理等方面支持；</w:t>
            </w:r>
          </w:p>
          <w:p w14:paraId="60B72F1E">
            <w:pPr>
              <w:adjustRightInd w:val="0"/>
              <w:spacing w:line="276" w:lineRule="auto"/>
              <w:ind w:right="42" w:rightChars="20"/>
              <w:rPr>
                <w:rFonts w:ascii="宋体" w:hAnsi="宋体"/>
                <w:color w:val="000000"/>
                <w:kern w:val="0"/>
                <w:szCs w:val="21"/>
              </w:rPr>
            </w:pPr>
            <w:r>
              <w:rPr>
                <w:rFonts w:ascii="宋体" w:hAnsi="宋体"/>
                <w:color w:val="000000"/>
                <w:kern w:val="0"/>
                <w:szCs w:val="21"/>
              </w:rPr>
              <w:t>给予主要的优秀供应商一定的政策倾斜。</w:t>
            </w:r>
          </w:p>
        </w:tc>
      </w:tr>
      <w:tr w14:paraId="3396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5" w:type="dxa"/>
            <w:vAlign w:val="center"/>
          </w:tcPr>
          <w:p w14:paraId="28558EDC">
            <w:pPr>
              <w:adjustRightInd w:val="0"/>
              <w:snapToGrid w:val="0"/>
              <w:spacing w:line="276" w:lineRule="auto"/>
              <w:jc w:val="center"/>
              <w:rPr>
                <w:rFonts w:ascii="宋体" w:hAnsi="宋体"/>
                <w:b/>
                <w:kern w:val="0"/>
                <w:szCs w:val="21"/>
              </w:rPr>
            </w:pPr>
            <w:r>
              <w:rPr>
                <w:rFonts w:hint="eastAsia" w:ascii="宋体" w:hAnsi="宋体"/>
                <w:b/>
                <w:kern w:val="0"/>
                <w:szCs w:val="21"/>
              </w:rPr>
              <w:t>社会</w:t>
            </w:r>
            <w:r>
              <w:rPr>
                <w:rFonts w:ascii="宋体" w:hAnsi="宋体"/>
                <w:b/>
                <w:kern w:val="0"/>
                <w:szCs w:val="21"/>
              </w:rPr>
              <w:t>其他相关方</w:t>
            </w:r>
          </w:p>
        </w:tc>
        <w:tc>
          <w:tcPr>
            <w:tcW w:w="7096" w:type="dxa"/>
            <w:vAlign w:val="center"/>
          </w:tcPr>
          <w:p w14:paraId="4B110B2E">
            <w:pPr>
              <w:adjustRightInd w:val="0"/>
              <w:snapToGrid w:val="0"/>
              <w:spacing w:line="276" w:lineRule="auto"/>
              <w:ind w:right="325" w:rightChars="155"/>
              <w:rPr>
                <w:rFonts w:ascii="宋体" w:hAnsi="宋体"/>
                <w:kern w:val="0"/>
                <w:szCs w:val="21"/>
              </w:rPr>
            </w:pPr>
            <w:r>
              <w:rPr>
                <w:rFonts w:ascii="宋体" w:hAnsi="宋体"/>
                <w:kern w:val="0"/>
                <w:szCs w:val="21"/>
              </w:rPr>
              <w:t>依法纳税、按期还贷，并积极投身到公益慈善等领域。</w:t>
            </w:r>
          </w:p>
        </w:tc>
      </w:tr>
    </w:tbl>
    <w:p w14:paraId="565763C5">
      <w:pPr>
        <w:pStyle w:val="387"/>
        <w:spacing w:before="156" w:beforeLines="50" w:line="312" w:lineRule="auto"/>
        <w:jc w:val="left"/>
        <w:rPr>
          <w:rFonts w:asciiTheme="minorEastAsia" w:hAnsiTheme="minorEastAsia" w:eastAsiaTheme="minorEastAsia"/>
          <w:sz w:val="21"/>
        </w:rPr>
      </w:pPr>
      <w:r>
        <w:rPr>
          <w:rFonts w:hint="eastAsia" w:asciiTheme="minorEastAsia" w:hAnsiTheme="minorEastAsia" w:eastAsiaTheme="minorEastAsia"/>
          <w:sz w:val="21"/>
        </w:rPr>
        <w:t>公司对产品、服务和运营中对在质量安全、环境保护、能源节约、资源综合利用、安全生产、产品安全、公共卫生等方面进行风险识别，确立目标及测量方法，并在关键过程采取有力措施。</w:t>
      </w:r>
    </w:p>
    <w:p w14:paraId="7ABCB51F">
      <w:pPr>
        <w:pStyle w:val="387"/>
        <w:spacing w:line="312" w:lineRule="auto"/>
        <w:jc w:val="left"/>
        <w:rPr>
          <w:rFonts w:ascii="宋体"/>
          <w:b/>
          <w:sz w:val="24"/>
        </w:rPr>
      </w:pPr>
      <w:r>
        <w:rPr>
          <w:rFonts w:hint="eastAsia" w:asciiTheme="minorEastAsia" w:hAnsiTheme="minorEastAsia" w:eastAsiaTheme="minorEastAsia"/>
          <w:sz w:val="21"/>
        </w:rPr>
        <w:t>公司以“和谐、诚信、创新、奋进”为核心价值观，在发展过程中坚持和倡导诚信，强调诚信经营、诚信品质、诚信纳税、诚信守法，切实履行法律法规和道德规范。公司对客户诚信，以顾客为导向，注重做好产品销售与售后服务，赢得了客户的信任、支持和肯定；公司对员工诚信，在工作、生活等方面身体力行关爱员工，提高员工满意度。公司合同履约率100%，确保与合作伙伴建立健康、规范的良好合作关系， 打造信用企业。</w:t>
      </w:r>
    </w:p>
    <w:p w14:paraId="02C24DC4">
      <w:pPr>
        <w:pStyle w:val="387"/>
        <w:spacing w:line="312" w:lineRule="auto"/>
        <w:ind w:firstLine="422"/>
        <w:jc w:val="left"/>
        <w:rPr>
          <w:rFonts w:asciiTheme="minorEastAsia" w:hAnsiTheme="minorEastAsia" w:eastAsiaTheme="minorEastAsia"/>
          <w:b/>
          <w:bCs/>
          <w:sz w:val="21"/>
        </w:rPr>
      </w:pPr>
      <w:r>
        <w:rPr>
          <w:rFonts w:hint="eastAsia" w:asciiTheme="minorEastAsia" w:hAnsiTheme="minorEastAsia" w:eastAsiaTheme="minorEastAsia"/>
          <w:b/>
          <w:bCs/>
          <w:sz w:val="21"/>
        </w:rPr>
        <w:t>（1）追求高质量的产品和服务的社会责任</w:t>
      </w:r>
    </w:p>
    <w:p w14:paraId="5670BC4B">
      <w:pPr>
        <w:pStyle w:val="387"/>
        <w:spacing w:line="312" w:lineRule="auto"/>
        <w:jc w:val="left"/>
        <w:rPr>
          <w:rFonts w:asciiTheme="minorEastAsia" w:hAnsiTheme="minorEastAsia" w:eastAsiaTheme="minorEastAsia"/>
          <w:sz w:val="21"/>
        </w:rPr>
      </w:pPr>
      <w:r>
        <w:rPr>
          <w:rFonts w:hint="eastAsia" w:asciiTheme="minorEastAsia" w:hAnsiTheme="minorEastAsia" w:eastAsiaTheme="minorEastAsia"/>
          <w:sz w:val="21"/>
        </w:rPr>
        <w:t>公司认为，企业最大的社会责任，是为顾客提供高质量的产品和服务，这个信念始终贯穿企业经营的始终。企业经营的目的是获取利润，但获取利润的途径，是为社会创造价值。因此我们不断追求进步和创新。通过创新的科技和完善的服务，为顾客创造价值，是我们首要的社会责任。</w:t>
      </w:r>
    </w:p>
    <w:p w14:paraId="48BA3232">
      <w:pPr>
        <w:pStyle w:val="387"/>
        <w:spacing w:line="312" w:lineRule="auto"/>
        <w:jc w:val="left"/>
        <w:rPr>
          <w:rFonts w:asciiTheme="minorEastAsia" w:hAnsiTheme="minorEastAsia" w:eastAsiaTheme="minorEastAsia"/>
          <w:sz w:val="21"/>
        </w:rPr>
      </w:pPr>
      <w:r>
        <w:rPr>
          <w:rFonts w:hint="eastAsia" w:asciiTheme="minorEastAsia" w:hAnsiTheme="minorEastAsia" w:eastAsiaTheme="minorEastAsia"/>
          <w:sz w:val="21"/>
        </w:rPr>
        <w:t>公司先后通过了质量管理体系认证、环境管理体系认证、职业健康安全管理体系认证，导入了卓越绩效模式。这些管理体系和标准确保了公司所有管理行动的全面性、持续性和有效性，确保产品质量。</w:t>
      </w:r>
    </w:p>
    <w:p w14:paraId="79CE861F">
      <w:pPr>
        <w:pStyle w:val="387"/>
        <w:spacing w:line="312" w:lineRule="auto"/>
        <w:jc w:val="left"/>
        <w:rPr>
          <w:rFonts w:asciiTheme="minorEastAsia" w:hAnsiTheme="minorEastAsia" w:eastAsiaTheme="minorEastAsia"/>
          <w:sz w:val="21"/>
        </w:rPr>
      </w:pPr>
      <w:r>
        <w:rPr>
          <w:rFonts w:hint="eastAsia" w:asciiTheme="minorEastAsia" w:hAnsiTheme="minorEastAsia" w:eastAsiaTheme="minorEastAsia"/>
          <w:sz w:val="21"/>
        </w:rPr>
        <w:t>为履行确保组织所提供产品和服务的质量安全的职责，引导组织承担质量安全主体责任，公司高度重视质量管理体系的建设，在对产品质量进行严格把关，并满足各项标准指标的同时，建立了完善的质量管理体系。</w:t>
      </w:r>
    </w:p>
    <w:p w14:paraId="0C0DB6BC">
      <w:pPr>
        <w:pStyle w:val="387"/>
        <w:spacing w:line="312" w:lineRule="auto"/>
        <w:jc w:val="left"/>
        <w:rPr>
          <w:rFonts w:asciiTheme="minorEastAsia" w:hAnsiTheme="minorEastAsia" w:eastAsiaTheme="minorEastAsia"/>
          <w:sz w:val="21"/>
        </w:rPr>
      </w:pPr>
      <w:r>
        <w:rPr>
          <w:rFonts w:hint="eastAsia" w:asciiTheme="minorEastAsia" w:hAnsiTheme="minorEastAsia" w:eastAsiaTheme="minorEastAsia"/>
          <w:sz w:val="21"/>
        </w:rPr>
        <w:t>目前公司制定多项具体的质量控制措施，涵盖了从产品设计、原材料采购、产品制造、产品检验、性能测试、包装储运到客户服务等全过程等各个环节，对各部门的质量控制工作进行有效的指导和监督；同时，公司以满足客户要求作为标准，由各专门部门负责，认真抓好产品质量的持续改进工作。</w:t>
      </w:r>
    </w:p>
    <w:p w14:paraId="4FDCEB31">
      <w:pPr>
        <w:pStyle w:val="387"/>
        <w:spacing w:line="312" w:lineRule="auto"/>
        <w:ind w:firstLine="422"/>
        <w:jc w:val="left"/>
        <w:rPr>
          <w:rFonts w:asciiTheme="minorEastAsia" w:hAnsiTheme="minorEastAsia" w:eastAsiaTheme="minorEastAsia"/>
          <w:b/>
          <w:bCs/>
          <w:sz w:val="21"/>
        </w:rPr>
      </w:pPr>
      <w:r>
        <w:rPr>
          <w:rFonts w:hint="eastAsia" w:asciiTheme="minorEastAsia" w:hAnsiTheme="minorEastAsia" w:eastAsiaTheme="minorEastAsia"/>
          <w:b/>
          <w:bCs/>
          <w:sz w:val="21"/>
        </w:rPr>
        <w:t>（2）遵守国家法律法规的社会责任</w:t>
      </w:r>
    </w:p>
    <w:p w14:paraId="422EB97D">
      <w:pPr>
        <w:pStyle w:val="387"/>
        <w:spacing w:line="312" w:lineRule="auto"/>
        <w:jc w:val="left"/>
        <w:rPr>
          <w:rFonts w:asciiTheme="minorEastAsia" w:hAnsiTheme="minorEastAsia" w:eastAsiaTheme="minorEastAsia"/>
          <w:sz w:val="21"/>
        </w:rPr>
      </w:pPr>
      <w:r>
        <w:rPr>
          <w:rFonts w:hint="eastAsia" w:asciiTheme="minorEastAsia" w:hAnsiTheme="minorEastAsia" w:eastAsiaTheme="minorEastAsia"/>
          <w:sz w:val="21"/>
        </w:rPr>
        <w:t>公司的产品、服务和运营主要涉及质量安全、环境保护、能源节约、资源综合利用、安全生产、公共卫生等方面的影响。公司严格按照《环境保护法》、《大气污染防治法》、《水污染防治法》、《安全生产法》等国家法律法规，制订了《应急预案》、《设备管理制度》等法律法规。近三年，公司的废水、废气、噪声均达到国家和地方规定的排放标准；公司固废均进行了处理、处置，危险废物处置率达100%；公司污染治理设施落实专人操作管理；公司依法领取了排污许可证，排放的污染物达到国家规定的标准，排放总量在控制范围内。</w:t>
      </w:r>
    </w:p>
    <w:p w14:paraId="663C9680">
      <w:pPr>
        <w:pStyle w:val="387"/>
        <w:spacing w:line="312" w:lineRule="auto"/>
        <w:ind w:firstLine="315" w:firstLineChars="150"/>
        <w:jc w:val="left"/>
        <w:rPr>
          <w:rFonts w:asciiTheme="minorEastAsia" w:hAnsiTheme="minorEastAsia" w:eastAsiaTheme="minorEastAsia"/>
          <w:sz w:val="21"/>
        </w:rPr>
      </w:pPr>
      <w:r>
        <w:rPr>
          <w:rFonts w:hint="eastAsia" w:asciiTheme="minorEastAsia" w:hAnsiTheme="minorEastAsia" w:eastAsiaTheme="minorEastAsia"/>
          <w:sz w:val="21"/>
        </w:rPr>
        <w:t>公司非常关注自身产品、服务及运营方面对未来质量安全、环境、能源消耗、资源综合利用以及公共卫生等方面可能存在的公众隐忧，积极研究对策并预先做出应对准备，充分将上述公众隐忧纳入制度规范。具体见下表：</w:t>
      </w:r>
    </w:p>
    <w:p w14:paraId="2F593B56">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图表7 公司应对公众隐患的措施举例</w:t>
      </w:r>
    </w:p>
    <w:tbl>
      <w:tblPr>
        <w:tblStyle w:val="88"/>
        <w:tblW w:w="89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2338"/>
        <w:gridCol w:w="5302"/>
      </w:tblGrid>
      <w:tr w14:paraId="45152F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tblHeader/>
          <w:jc w:val="center"/>
        </w:trPr>
        <w:tc>
          <w:tcPr>
            <w:tcW w:w="1260" w:type="dxa"/>
            <w:tcBorders>
              <w:top w:val="single" w:color="auto" w:sz="12" w:space="0"/>
              <w:bottom w:val="single" w:color="auto" w:sz="6" w:space="0"/>
            </w:tcBorders>
            <w:shd w:val="clear" w:color="auto" w:fill="DCE6F2" w:themeFill="accent1" w:themeFillTint="32"/>
            <w:vAlign w:val="center"/>
          </w:tcPr>
          <w:p w14:paraId="4CC438D2">
            <w:pPr>
              <w:widowControl/>
              <w:spacing w:line="280" w:lineRule="exact"/>
              <w:jc w:val="center"/>
              <w:rPr>
                <w:rFonts w:ascii="宋体" w:hAnsi="宋体" w:cs="宋体"/>
                <w:b/>
                <w:bCs/>
                <w:kern w:val="0"/>
                <w:szCs w:val="21"/>
              </w:rPr>
            </w:pPr>
            <w:r>
              <w:rPr>
                <w:rFonts w:hint="eastAsia" w:ascii="宋体" w:hAnsi="宋体" w:cs="宋体"/>
                <w:b/>
                <w:bCs/>
                <w:kern w:val="0"/>
                <w:szCs w:val="21"/>
              </w:rPr>
              <w:t>控制项目</w:t>
            </w:r>
          </w:p>
        </w:tc>
        <w:tc>
          <w:tcPr>
            <w:tcW w:w="2338" w:type="dxa"/>
            <w:tcBorders>
              <w:top w:val="single" w:color="auto" w:sz="12" w:space="0"/>
              <w:bottom w:val="single" w:color="auto" w:sz="6" w:space="0"/>
            </w:tcBorders>
            <w:shd w:val="clear" w:color="auto" w:fill="DCE6F2" w:themeFill="accent1" w:themeFillTint="32"/>
            <w:vAlign w:val="center"/>
          </w:tcPr>
          <w:p w14:paraId="138971C1">
            <w:pPr>
              <w:widowControl/>
              <w:spacing w:line="280" w:lineRule="exact"/>
              <w:jc w:val="center"/>
              <w:rPr>
                <w:rFonts w:ascii="宋体" w:hAnsi="宋体" w:cs="宋体"/>
                <w:b/>
                <w:bCs/>
                <w:kern w:val="0"/>
                <w:szCs w:val="21"/>
              </w:rPr>
            </w:pPr>
            <w:r>
              <w:rPr>
                <w:rFonts w:hint="eastAsia" w:ascii="宋体" w:hAnsi="宋体" w:cs="宋体"/>
                <w:b/>
                <w:bCs/>
                <w:kern w:val="0"/>
                <w:szCs w:val="21"/>
              </w:rPr>
              <w:t>隐忧</w:t>
            </w:r>
          </w:p>
        </w:tc>
        <w:tc>
          <w:tcPr>
            <w:tcW w:w="5302" w:type="dxa"/>
            <w:tcBorders>
              <w:top w:val="single" w:color="auto" w:sz="12" w:space="0"/>
              <w:bottom w:val="single" w:color="auto" w:sz="6" w:space="0"/>
            </w:tcBorders>
            <w:shd w:val="clear" w:color="auto" w:fill="DCE6F2" w:themeFill="accent1" w:themeFillTint="32"/>
            <w:vAlign w:val="center"/>
          </w:tcPr>
          <w:p w14:paraId="75E519FF">
            <w:pPr>
              <w:widowControl/>
              <w:spacing w:line="280" w:lineRule="exact"/>
              <w:jc w:val="center"/>
              <w:rPr>
                <w:rFonts w:ascii="宋体" w:hAnsi="宋体" w:cs="宋体"/>
                <w:b/>
                <w:bCs/>
                <w:kern w:val="0"/>
                <w:szCs w:val="21"/>
              </w:rPr>
            </w:pPr>
            <w:r>
              <w:rPr>
                <w:rFonts w:hint="eastAsia" w:ascii="宋体" w:hAnsi="宋体" w:cs="宋体"/>
                <w:b/>
                <w:bCs/>
                <w:kern w:val="0"/>
                <w:szCs w:val="21"/>
              </w:rPr>
              <w:t>提前的准备</w:t>
            </w:r>
          </w:p>
        </w:tc>
      </w:tr>
      <w:tr w14:paraId="6F0D20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0" w:type="dxa"/>
            <w:vMerge w:val="restart"/>
            <w:tcBorders>
              <w:top w:val="single" w:color="auto" w:sz="6" w:space="0"/>
            </w:tcBorders>
            <w:vAlign w:val="center"/>
          </w:tcPr>
          <w:p w14:paraId="3B006E89">
            <w:pPr>
              <w:widowControl/>
              <w:spacing w:line="280" w:lineRule="exact"/>
              <w:jc w:val="center"/>
              <w:rPr>
                <w:rFonts w:ascii="宋体" w:hAnsi="宋体" w:cs="宋体"/>
                <w:kern w:val="0"/>
                <w:szCs w:val="21"/>
              </w:rPr>
            </w:pPr>
            <w:r>
              <w:rPr>
                <w:rFonts w:hint="eastAsia" w:ascii="宋体" w:hAnsi="宋体" w:cs="宋体"/>
                <w:kern w:val="0"/>
                <w:szCs w:val="21"/>
              </w:rPr>
              <w:t>环境保护    能源消耗     资源综合利用</w:t>
            </w:r>
          </w:p>
        </w:tc>
        <w:tc>
          <w:tcPr>
            <w:tcW w:w="2338" w:type="dxa"/>
            <w:vMerge w:val="restart"/>
            <w:tcBorders>
              <w:top w:val="single" w:color="auto" w:sz="6" w:space="0"/>
            </w:tcBorders>
            <w:vAlign w:val="center"/>
          </w:tcPr>
          <w:p w14:paraId="06DCE53D">
            <w:pPr>
              <w:widowControl/>
              <w:spacing w:line="280" w:lineRule="exact"/>
              <w:jc w:val="left"/>
              <w:rPr>
                <w:rFonts w:ascii="宋体" w:hAnsi="宋体" w:cs="宋体"/>
                <w:kern w:val="0"/>
                <w:szCs w:val="21"/>
              </w:rPr>
            </w:pPr>
            <w:r>
              <w:rPr>
                <w:rFonts w:hint="eastAsia" w:ascii="宋体" w:hAnsi="宋体" w:cs="宋体"/>
                <w:kern w:val="0"/>
                <w:szCs w:val="21"/>
              </w:rPr>
              <w:t>随着人类生存环境的不断遭到破坏，各国都加大了对环保、能耗和新能源开发的重视</w:t>
            </w:r>
          </w:p>
        </w:tc>
        <w:tc>
          <w:tcPr>
            <w:tcW w:w="5302" w:type="dxa"/>
            <w:tcBorders>
              <w:top w:val="single" w:color="auto" w:sz="6" w:space="0"/>
            </w:tcBorders>
            <w:vAlign w:val="center"/>
          </w:tcPr>
          <w:p w14:paraId="1622B38B">
            <w:pPr>
              <w:widowControl/>
              <w:spacing w:line="280" w:lineRule="exact"/>
              <w:jc w:val="left"/>
              <w:rPr>
                <w:rFonts w:ascii="宋体" w:hAnsi="宋体" w:cs="宋体"/>
                <w:kern w:val="0"/>
                <w:szCs w:val="21"/>
              </w:rPr>
            </w:pPr>
            <w:r>
              <w:rPr>
                <w:rFonts w:hint="eastAsia" w:ascii="宋体" w:hAnsi="宋体" w:cs="宋体"/>
                <w:kern w:val="0"/>
                <w:szCs w:val="21"/>
              </w:rPr>
              <w:t>1、工艺优化，降低能耗</w:t>
            </w:r>
          </w:p>
        </w:tc>
      </w:tr>
      <w:tr w14:paraId="722B00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260" w:type="dxa"/>
            <w:vMerge w:val="continue"/>
            <w:vAlign w:val="center"/>
          </w:tcPr>
          <w:p w14:paraId="5509523B">
            <w:pPr>
              <w:widowControl/>
              <w:spacing w:line="280" w:lineRule="exact"/>
              <w:jc w:val="left"/>
              <w:rPr>
                <w:rFonts w:ascii="宋体" w:hAnsi="宋体" w:cs="宋体"/>
                <w:kern w:val="0"/>
                <w:szCs w:val="21"/>
              </w:rPr>
            </w:pPr>
          </w:p>
        </w:tc>
        <w:tc>
          <w:tcPr>
            <w:tcW w:w="2338" w:type="dxa"/>
            <w:vMerge w:val="continue"/>
            <w:vAlign w:val="center"/>
          </w:tcPr>
          <w:p w14:paraId="7FCEFC2E">
            <w:pPr>
              <w:widowControl/>
              <w:spacing w:line="280" w:lineRule="exact"/>
              <w:jc w:val="left"/>
              <w:rPr>
                <w:rFonts w:ascii="宋体" w:hAnsi="宋体" w:cs="宋体"/>
                <w:kern w:val="0"/>
                <w:szCs w:val="21"/>
              </w:rPr>
            </w:pPr>
          </w:p>
        </w:tc>
        <w:tc>
          <w:tcPr>
            <w:tcW w:w="5302" w:type="dxa"/>
            <w:vAlign w:val="center"/>
          </w:tcPr>
          <w:p w14:paraId="68DB1FDB">
            <w:pPr>
              <w:widowControl/>
              <w:spacing w:line="280" w:lineRule="exact"/>
              <w:jc w:val="left"/>
              <w:rPr>
                <w:rFonts w:ascii="宋体" w:hAnsi="宋体" w:cs="宋体"/>
                <w:kern w:val="0"/>
                <w:szCs w:val="21"/>
              </w:rPr>
            </w:pPr>
            <w:r>
              <w:rPr>
                <w:rFonts w:hint="eastAsia" w:ascii="宋体" w:hAnsi="宋体" w:cs="宋体"/>
                <w:kern w:val="0"/>
                <w:szCs w:val="21"/>
              </w:rPr>
              <w:t>2、设备改造，实现节能减排，消除公众的隐忧</w:t>
            </w:r>
          </w:p>
        </w:tc>
      </w:tr>
      <w:tr w14:paraId="220E9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60" w:type="dxa"/>
            <w:vMerge w:val="continue"/>
            <w:vAlign w:val="center"/>
          </w:tcPr>
          <w:p w14:paraId="3856B020">
            <w:pPr>
              <w:widowControl/>
              <w:spacing w:line="280" w:lineRule="exact"/>
              <w:jc w:val="left"/>
              <w:rPr>
                <w:rFonts w:ascii="宋体" w:hAnsi="宋体" w:cs="宋体"/>
                <w:kern w:val="0"/>
                <w:szCs w:val="21"/>
              </w:rPr>
            </w:pPr>
          </w:p>
        </w:tc>
        <w:tc>
          <w:tcPr>
            <w:tcW w:w="2338" w:type="dxa"/>
            <w:vMerge w:val="continue"/>
            <w:vAlign w:val="center"/>
          </w:tcPr>
          <w:p w14:paraId="72320A7D">
            <w:pPr>
              <w:widowControl/>
              <w:spacing w:line="280" w:lineRule="exact"/>
              <w:jc w:val="left"/>
              <w:rPr>
                <w:rFonts w:ascii="宋体" w:hAnsi="宋体" w:cs="宋体"/>
                <w:kern w:val="0"/>
                <w:szCs w:val="21"/>
              </w:rPr>
            </w:pPr>
          </w:p>
        </w:tc>
        <w:tc>
          <w:tcPr>
            <w:tcW w:w="5302" w:type="dxa"/>
            <w:vAlign w:val="center"/>
          </w:tcPr>
          <w:p w14:paraId="145B3A33">
            <w:pPr>
              <w:widowControl/>
              <w:spacing w:line="280" w:lineRule="exact"/>
              <w:jc w:val="left"/>
              <w:rPr>
                <w:rFonts w:ascii="宋体" w:hAnsi="宋体" w:cs="宋体"/>
                <w:kern w:val="0"/>
                <w:szCs w:val="21"/>
              </w:rPr>
            </w:pPr>
            <w:r>
              <w:rPr>
                <w:rFonts w:hint="eastAsia" w:ascii="宋体" w:hAnsi="宋体" w:cs="宋体"/>
                <w:kern w:val="0"/>
                <w:szCs w:val="21"/>
              </w:rPr>
              <w:t>3、开发安全、环保型电线电缆，</w:t>
            </w:r>
            <w:r>
              <w:rPr>
                <w:rFonts w:ascii="宋体" w:hAnsi="宋体" w:cs="宋体"/>
                <w:kern w:val="0"/>
                <w:szCs w:val="21"/>
              </w:rPr>
              <w:t>优化产品</w:t>
            </w:r>
            <w:r>
              <w:rPr>
                <w:rFonts w:hint="eastAsia" w:ascii="宋体" w:hAnsi="宋体" w:cs="宋体"/>
                <w:kern w:val="0"/>
                <w:szCs w:val="21"/>
              </w:rPr>
              <w:t>能源</w:t>
            </w:r>
            <w:r>
              <w:rPr>
                <w:rFonts w:ascii="宋体" w:hAnsi="宋体" w:cs="宋体"/>
                <w:kern w:val="0"/>
                <w:szCs w:val="21"/>
              </w:rPr>
              <w:t>利用</w:t>
            </w:r>
            <w:r>
              <w:rPr>
                <w:rFonts w:hint="eastAsia" w:ascii="宋体" w:hAnsi="宋体" w:cs="宋体"/>
                <w:kern w:val="0"/>
                <w:szCs w:val="21"/>
              </w:rPr>
              <w:t>。</w:t>
            </w:r>
          </w:p>
        </w:tc>
      </w:tr>
      <w:tr w14:paraId="7E1EB7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60" w:type="dxa"/>
            <w:vMerge w:val="restart"/>
            <w:vAlign w:val="center"/>
          </w:tcPr>
          <w:p w14:paraId="57B91B84">
            <w:pPr>
              <w:widowControl/>
              <w:spacing w:line="280" w:lineRule="exact"/>
              <w:jc w:val="left"/>
              <w:rPr>
                <w:rFonts w:ascii="宋体" w:hAnsi="宋体" w:cs="宋体"/>
                <w:kern w:val="0"/>
                <w:szCs w:val="21"/>
              </w:rPr>
            </w:pPr>
            <w:r>
              <w:rPr>
                <w:rFonts w:hint="eastAsia" w:ascii="宋体" w:hAnsi="宋体" w:cs="宋体"/>
                <w:kern w:val="0"/>
                <w:szCs w:val="21"/>
              </w:rPr>
              <w:t>产品</w:t>
            </w:r>
            <w:r>
              <w:rPr>
                <w:rFonts w:ascii="宋体" w:hAnsi="宋体" w:cs="宋体"/>
                <w:kern w:val="0"/>
                <w:szCs w:val="21"/>
              </w:rPr>
              <w:t>安全</w:t>
            </w:r>
          </w:p>
        </w:tc>
        <w:tc>
          <w:tcPr>
            <w:tcW w:w="2338" w:type="dxa"/>
            <w:vMerge w:val="restart"/>
            <w:vAlign w:val="center"/>
          </w:tcPr>
          <w:p w14:paraId="5B546EE1">
            <w:pPr>
              <w:widowControl/>
              <w:spacing w:line="280" w:lineRule="exact"/>
              <w:jc w:val="left"/>
              <w:rPr>
                <w:rFonts w:ascii="宋体" w:hAnsi="宋体" w:cs="宋体"/>
                <w:kern w:val="0"/>
                <w:szCs w:val="21"/>
              </w:rPr>
            </w:pPr>
            <w:r>
              <w:rPr>
                <w:rFonts w:hint="eastAsia" w:ascii="宋体" w:hAnsi="宋体" w:cs="宋体"/>
                <w:kern w:val="0"/>
                <w:szCs w:val="21"/>
              </w:rPr>
              <w:t>安全可靠是电线电缆的关键质量诉求</w:t>
            </w:r>
            <w:r>
              <w:rPr>
                <w:rFonts w:ascii="宋体" w:hAnsi="宋体" w:cs="宋体"/>
                <w:kern w:val="0"/>
                <w:szCs w:val="21"/>
              </w:rPr>
              <w:t>，</w:t>
            </w:r>
            <w:r>
              <w:rPr>
                <w:rFonts w:hint="eastAsia" w:ascii="宋体" w:hAnsi="宋体" w:cs="宋体"/>
                <w:kern w:val="0"/>
                <w:szCs w:val="21"/>
              </w:rPr>
              <w:t>产品质量事故往往伴随人身伤害和财产损失</w:t>
            </w:r>
            <w:r>
              <w:rPr>
                <w:rFonts w:ascii="宋体" w:hAnsi="宋体" w:cs="宋体"/>
                <w:kern w:val="0"/>
                <w:szCs w:val="21"/>
              </w:rPr>
              <w:t>，引起民众不安</w:t>
            </w:r>
          </w:p>
        </w:tc>
        <w:tc>
          <w:tcPr>
            <w:tcW w:w="5302" w:type="dxa"/>
            <w:vAlign w:val="center"/>
          </w:tcPr>
          <w:p w14:paraId="2EDD96DE">
            <w:pPr>
              <w:widowControl/>
              <w:spacing w:line="280" w:lineRule="exact"/>
              <w:jc w:val="left"/>
              <w:rPr>
                <w:rFonts w:ascii="宋体" w:hAnsi="宋体" w:cs="宋体"/>
                <w:kern w:val="0"/>
                <w:szCs w:val="21"/>
              </w:rPr>
            </w:pPr>
            <w:r>
              <w:rPr>
                <w:rFonts w:hint="eastAsia" w:ascii="宋体" w:hAnsi="宋体" w:cs="宋体"/>
                <w:kern w:val="0"/>
                <w:szCs w:val="21"/>
              </w:rPr>
              <w:t>建立良好的供应链关系：与供方一起维护、开发质量</w:t>
            </w:r>
            <w:r>
              <w:rPr>
                <w:rFonts w:ascii="宋体" w:hAnsi="宋体" w:cs="宋体"/>
                <w:kern w:val="0"/>
                <w:szCs w:val="21"/>
              </w:rPr>
              <w:t>可靠的</w:t>
            </w:r>
            <w:r>
              <w:rPr>
                <w:rFonts w:hint="eastAsia" w:ascii="宋体" w:hAnsi="宋体" w:cs="宋体"/>
                <w:kern w:val="0"/>
                <w:szCs w:val="21"/>
              </w:rPr>
              <w:t>原材料。</w:t>
            </w:r>
          </w:p>
        </w:tc>
      </w:tr>
      <w:tr w14:paraId="0D7AE6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60" w:type="dxa"/>
            <w:vMerge w:val="continue"/>
            <w:vAlign w:val="center"/>
          </w:tcPr>
          <w:p w14:paraId="2BB3A848">
            <w:pPr>
              <w:widowControl/>
              <w:spacing w:line="280" w:lineRule="exact"/>
              <w:jc w:val="left"/>
              <w:rPr>
                <w:rFonts w:ascii="宋体" w:hAnsi="宋体" w:cs="宋体"/>
                <w:kern w:val="0"/>
                <w:szCs w:val="21"/>
              </w:rPr>
            </w:pPr>
          </w:p>
        </w:tc>
        <w:tc>
          <w:tcPr>
            <w:tcW w:w="2338" w:type="dxa"/>
            <w:vMerge w:val="continue"/>
            <w:vAlign w:val="center"/>
          </w:tcPr>
          <w:p w14:paraId="2E647554">
            <w:pPr>
              <w:widowControl/>
              <w:spacing w:line="280" w:lineRule="exact"/>
              <w:jc w:val="left"/>
              <w:rPr>
                <w:rFonts w:ascii="宋体" w:hAnsi="宋体" w:cs="宋体"/>
                <w:kern w:val="0"/>
                <w:szCs w:val="21"/>
              </w:rPr>
            </w:pPr>
          </w:p>
        </w:tc>
        <w:tc>
          <w:tcPr>
            <w:tcW w:w="5302" w:type="dxa"/>
            <w:vAlign w:val="center"/>
          </w:tcPr>
          <w:p w14:paraId="2C0A0D29">
            <w:pPr>
              <w:widowControl/>
              <w:spacing w:line="280" w:lineRule="exact"/>
              <w:jc w:val="left"/>
              <w:rPr>
                <w:rFonts w:ascii="宋体" w:hAnsi="宋体" w:cs="宋体"/>
                <w:kern w:val="0"/>
                <w:szCs w:val="21"/>
              </w:rPr>
            </w:pPr>
            <w:r>
              <w:rPr>
                <w:rFonts w:hint="eastAsia" w:ascii="宋体" w:hAnsi="宋体" w:cs="宋体"/>
                <w:kern w:val="0"/>
                <w:szCs w:val="21"/>
              </w:rPr>
              <w:t>成立相关部门专门负责：采购、质量等部门检验人员对采购的原材料赴供方处实施初检并进行入库检验。</w:t>
            </w:r>
          </w:p>
        </w:tc>
      </w:tr>
      <w:tr w14:paraId="00A336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60" w:type="dxa"/>
            <w:vMerge w:val="continue"/>
            <w:vAlign w:val="center"/>
          </w:tcPr>
          <w:p w14:paraId="434D6B2E">
            <w:pPr>
              <w:widowControl/>
              <w:spacing w:line="280" w:lineRule="exact"/>
              <w:jc w:val="left"/>
              <w:rPr>
                <w:rFonts w:ascii="宋体" w:hAnsi="宋体" w:cs="宋体"/>
                <w:kern w:val="0"/>
                <w:szCs w:val="21"/>
              </w:rPr>
            </w:pPr>
          </w:p>
        </w:tc>
        <w:tc>
          <w:tcPr>
            <w:tcW w:w="2338" w:type="dxa"/>
            <w:vMerge w:val="continue"/>
            <w:vAlign w:val="center"/>
          </w:tcPr>
          <w:p w14:paraId="138B07B7">
            <w:pPr>
              <w:widowControl/>
              <w:spacing w:line="280" w:lineRule="exact"/>
              <w:jc w:val="left"/>
              <w:rPr>
                <w:rFonts w:ascii="宋体" w:hAnsi="宋体" w:cs="宋体"/>
                <w:kern w:val="0"/>
                <w:szCs w:val="21"/>
              </w:rPr>
            </w:pPr>
          </w:p>
        </w:tc>
        <w:tc>
          <w:tcPr>
            <w:tcW w:w="5302" w:type="dxa"/>
            <w:vAlign w:val="center"/>
          </w:tcPr>
          <w:p w14:paraId="0EA06D6D">
            <w:pPr>
              <w:widowControl/>
              <w:spacing w:line="280" w:lineRule="exact"/>
              <w:jc w:val="left"/>
              <w:rPr>
                <w:rFonts w:ascii="宋体" w:hAnsi="宋体" w:cs="宋体"/>
                <w:kern w:val="0"/>
                <w:szCs w:val="21"/>
              </w:rPr>
            </w:pPr>
            <w:r>
              <w:rPr>
                <w:rFonts w:hint="eastAsia" w:ascii="宋体" w:hAnsi="宋体" w:cs="宋体"/>
                <w:kern w:val="0"/>
                <w:szCs w:val="21"/>
              </w:rPr>
              <w:t>建立全过程的质量控制体系</w:t>
            </w:r>
            <w:r>
              <w:rPr>
                <w:rFonts w:ascii="宋体" w:hAnsi="宋体" w:cs="宋体"/>
                <w:kern w:val="0"/>
                <w:szCs w:val="21"/>
              </w:rPr>
              <w:t>。</w:t>
            </w:r>
          </w:p>
        </w:tc>
      </w:tr>
      <w:tr w14:paraId="7B3C0B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5" w:hRule="atLeast"/>
          <w:jc w:val="center"/>
        </w:trPr>
        <w:tc>
          <w:tcPr>
            <w:tcW w:w="1260" w:type="dxa"/>
            <w:vAlign w:val="center"/>
          </w:tcPr>
          <w:p w14:paraId="1913F21A">
            <w:pPr>
              <w:widowControl/>
              <w:spacing w:line="280" w:lineRule="exact"/>
              <w:jc w:val="center"/>
              <w:rPr>
                <w:rFonts w:ascii="宋体" w:hAnsi="宋体" w:cs="宋体"/>
                <w:kern w:val="0"/>
                <w:szCs w:val="21"/>
              </w:rPr>
            </w:pPr>
            <w:r>
              <w:rPr>
                <w:rFonts w:hint="eastAsia" w:ascii="宋体" w:hAnsi="宋体" w:cs="宋体"/>
                <w:kern w:val="0"/>
                <w:szCs w:val="21"/>
              </w:rPr>
              <w:t>安全生产</w:t>
            </w:r>
          </w:p>
        </w:tc>
        <w:tc>
          <w:tcPr>
            <w:tcW w:w="2338" w:type="dxa"/>
            <w:vAlign w:val="center"/>
          </w:tcPr>
          <w:p w14:paraId="7BF38944">
            <w:pPr>
              <w:widowControl/>
              <w:spacing w:line="280" w:lineRule="exact"/>
              <w:jc w:val="left"/>
              <w:rPr>
                <w:rFonts w:ascii="宋体" w:hAnsi="宋体" w:cs="宋体"/>
                <w:kern w:val="0"/>
                <w:szCs w:val="21"/>
              </w:rPr>
            </w:pPr>
            <w:r>
              <w:rPr>
                <w:rFonts w:hint="eastAsia" w:ascii="宋体" w:hAnsi="宋体" w:cs="宋体"/>
                <w:kern w:val="0"/>
                <w:szCs w:val="21"/>
              </w:rPr>
              <w:t>安全生产工作，需要常抓不懈</w:t>
            </w:r>
          </w:p>
        </w:tc>
        <w:tc>
          <w:tcPr>
            <w:tcW w:w="5302" w:type="dxa"/>
            <w:vAlign w:val="center"/>
          </w:tcPr>
          <w:p w14:paraId="16272E26">
            <w:pPr>
              <w:widowControl/>
              <w:spacing w:line="280" w:lineRule="exact"/>
              <w:jc w:val="left"/>
              <w:rPr>
                <w:rFonts w:ascii="宋体" w:hAnsi="宋体" w:cs="宋体"/>
                <w:kern w:val="0"/>
                <w:szCs w:val="21"/>
              </w:rPr>
            </w:pPr>
            <w:r>
              <w:rPr>
                <w:rFonts w:hint="eastAsia" w:ascii="宋体" w:hAnsi="宋体" w:cs="宋体"/>
                <w:kern w:val="0"/>
                <w:szCs w:val="21"/>
              </w:rPr>
              <w:t>公司对重大危险源进行定量分析，采取有效地控制和治理措施，推进“危险辨识-实施控制-安全评价-持续改进”循环管理，消除公众的安全隐忧</w:t>
            </w:r>
          </w:p>
        </w:tc>
      </w:tr>
      <w:tr w14:paraId="0E6D4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60" w:type="dxa"/>
            <w:vMerge w:val="restart"/>
            <w:vAlign w:val="center"/>
          </w:tcPr>
          <w:p w14:paraId="3D7D96FC">
            <w:pPr>
              <w:widowControl/>
              <w:spacing w:line="280" w:lineRule="exact"/>
              <w:jc w:val="center"/>
              <w:rPr>
                <w:rFonts w:ascii="宋体" w:hAnsi="宋体" w:cs="宋体"/>
                <w:kern w:val="0"/>
                <w:szCs w:val="21"/>
              </w:rPr>
            </w:pPr>
            <w:r>
              <w:rPr>
                <w:rFonts w:hint="eastAsia" w:ascii="宋体" w:hAnsi="宋体" w:cs="宋体"/>
                <w:kern w:val="0"/>
                <w:szCs w:val="21"/>
              </w:rPr>
              <w:t>公共卫生</w:t>
            </w:r>
          </w:p>
        </w:tc>
        <w:tc>
          <w:tcPr>
            <w:tcW w:w="2338" w:type="dxa"/>
            <w:vMerge w:val="restart"/>
            <w:vAlign w:val="center"/>
          </w:tcPr>
          <w:p w14:paraId="0FDE506D">
            <w:pPr>
              <w:widowControl/>
              <w:spacing w:line="280" w:lineRule="exact"/>
              <w:jc w:val="left"/>
              <w:rPr>
                <w:rFonts w:ascii="宋体" w:hAnsi="宋体" w:cs="宋体"/>
                <w:kern w:val="0"/>
                <w:szCs w:val="21"/>
              </w:rPr>
            </w:pPr>
            <w:r>
              <w:rPr>
                <w:rFonts w:hint="eastAsia" w:ascii="宋体" w:hAnsi="宋体" w:cs="宋体"/>
                <w:kern w:val="0"/>
                <w:szCs w:val="21"/>
              </w:rPr>
              <w:t>随着《新劳动法》的实施，以员工为关注焦点将成为社会发展的新趋势</w:t>
            </w:r>
          </w:p>
        </w:tc>
        <w:tc>
          <w:tcPr>
            <w:tcW w:w="5302" w:type="dxa"/>
            <w:vAlign w:val="center"/>
          </w:tcPr>
          <w:p w14:paraId="4F44C03D">
            <w:pPr>
              <w:widowControl/>
              <w:spacing w:line="280" w:lineRule="exact"/>
              <w:jc w:val="left"/>
              <w:rPr>
                <w:rFonts w:ascii="宋体" w:hAnsi="宋体" w:cs="宋体"/>
                <w:kern w:val="0"/>
                <w:szCs w:val="21"/>
              </w:rPr>
            </w:pPr>
            <w:r>
              <w:rPr>
                <w:rFonts w:hint="eastAsia" w:ascii="宋体" w:hAnsi="宋体" w:cs="宋体"/>
                <w:kern w:val="0"/>
                <w:szCs w:val="21"/>
              </w:rPr>
              <w:t>1、实施GB/T</w:t>
            </w:r>
            <w:r>
              <w:rPr>
                <w:rFonts w:hint="eastAsia" w:ascii="宋体" w:hAnsi="宋体" w:cs="宋体"/>
                <w:kern w:val="0"/>
                <w:szCs w:val="21"/>
                <w:lang w:val="en-US" w:eastAsia="zh-CN"/>
              </w:rPr>
              <w:t>45</w:t>
            </w:r>
            <w:r>
              <w:rPr>
                <w:rFonts w:hint="eastAsia" w:ascii="宋体" w:hAnsi="宋体" w:cs="宋体"/>
                <w:kern w:val="0"/>
                <w:szCs w:val="21"/>
              </w:rPr>
              <w:t>001职业健康管理体系</w:t>
            </w:r>
          </w:p>
        </w:tc>
      </w:tr>
      <w:tr w14:paraId="7C070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60" w:type="dxa"/>
            <w:vMerge w:val="continue"/>
            <w:vAlign w:val="center"/>
          </w:tcPr>
          <w:p w14:paraId="7FD06DE1">
            <w:pPr>
              <w:widowControl/>
              <w:spacing w:line="280" w:lineRule="exact"/>
              <w:jc w:val="left"/>
              <w:rPr>
                <w:rFonts w:ascii="宋体" w:hAnsi="宋体" w:cs="宋体"/>
                <w:kern w:val="0"/>
                <w:szCs w:val="21"/>
              </w:rPr>
            </w:pPr>
          </w:p>
        </w:tc>
        <w:tc>
          <w:tcPr>
            <w:tcW w:w="2338" w:type="dxa"/>
            <w:vMerge w:val="continue"/>
            <w:vAlign w:val="center"/>
          </w:tcPr>
          <w:p w14:paraId="45FB61D5">
            <w:pPr>
              <w:widowControl/>
              <w:spacing w:line="280" w:lineRule="exact"/>
              <w:jc w:val="left"/>
              <w:rPr>
                <w:rFonts w:ascii="宋体" w:hAnsi="宋体" w:cs="宋体"/>
                <w:kern w:val="0"/>
                <w:szCs w:val="21"/>
              </w:rPr>
            </w:pPr>
          </w:p>
        </w:tc>
        <w:tc>
          <w:tcPr>
            <w:tcW w:w="5302" w:type="dxa"/>
            <w:vAlign w:val="center"/>
          </w:tcPr>
          <w:p w14:paraId="08B8B889">
            <w:pPr>
              <w:widowControl/>
              <w:spacing w:line="280" w:lineRule="exact"/>
              <w:jc w:val="left"/>
              <w:rPr>
                <w:rFonts w:ascii="宋体" w:hAnsi="宋体" w:cs="宋体"/>
                <w:kern w:val="0"/>
                <w:szCs w:val="21"/>
              </w:rPr>
            </w:pPr>
            <w:r>
              <w:rPr>
                <w:rFonts w:hint="eastAsia" w:ascii="宋体" w:hAnsi="宋体" w:cs="宋体"/>
                <w:kern w:val="0"/>
                <w:szCs w:val="21"/>
              </w:rPr>
              <w:t>2、加强福利，适时调整体检范围和参加人员</w:t>
            </w:r>
          </w:p>
        </w:tc>
      </w:tr>
    </w:tbl>
    <w:p w14:paraId="319F27BC">
      <w:pPr>
        <w:pStyle w:val="141"/>
        <w:adjustRightInd w:val="0"/>
        <w:spacing w:before="156" w:beforeLines="50" w:line="360" w:lineRule="auto"/>
        <w:ind w:right="325" w:rightChars="155"/>
        <w:outlineLvl w:val="1"/>
        <w:rPr>
          <w:rFonts w:ascii="宋体" w:hAnsi="宋体"/>
          <w:b/>
          <w:sz w:val="24"/>
        </w:rPr>
      </w:pPr>
      <w:bookmarkStart w:id="13" w:name="_Toc10066"/>
      <w:r>
        <w:rPr>
          <w:rFonts w:hint="eastAsia" w:ascii="宋体" w:hAnsi="宋体"/>
          <w:b/>
          <w:sz w:val="24"/>
        </w:rPr>
        <w:t>2、股东权益保护</w:t>
      </w:r>
      <w:bookmarkEnd w:id="13"/>
    </w:p>
    <w:p w14:paraId="19E18282">
      <w:pPr>
        <w:pStyle w:val="82"/>
        <w:shd w:val="clear" w:color="auto" w:fill="FFFFFF"/>
        <w:spacing w:before="0" w:beforeAutospacing="0" w:after="0" w:afterAutospacing="0" w:line="312" w:lineRule="auto"/>
        <w:ind w:right="-115" w:rightChars="-55" w:firstLine="422" w:firstLineChars="200"/>
        <w:textAlignment w:val="baseline"/>
        <w:rPr>
          <w:rFonts w:cs="Arial"/>
          <w:b/>
          <w:kern w:val="2"/>
          <w:sz w:val="21"/>
          <w:szCs w:val="21"/>
        </w:rPr>
      </w:pPr>
      <w:r>
        <w:rPr>
          <w:rFonts w:hint="eastAsia" w:cs="Arial"/>
          <w:b/>
          <w:kern w:val="2"/>
          <w:sz w:val="21"/>
          <w:szCs w:val="21"/>
        </w:rPr>
        <w:t>（1）公司治理科学规范</w:t>
      </w:r>
    </w:p>
    <w:p w14:paraId="742FA461">
      <w:pPr>
        <w:pStyle w:val="82"/>
        <w:shd w:val="clear" w:color="auto" w:fill="FFFFFF"/>
        <w:spacing w:before="0" w:beforeAutospacing="0" w:after="0" w:afterAutospacing="0" w:line="312" w:lineRule="auto"/>
        <w:ind w:right="-115" w:rightChars="-55" w:firstLine="420" w:firstLineChars="200"/>
        <w:textAlignment w:val="baseline"/>
        <w:rPr>
          <w:rFonts w:cs="Arial"/>
          <w:bCs/>
          <w:kern w:val="2"/>
          <w:sz w:val="21"/>
          <w:szCs w:val="21"/>
        </w:rPr>
      </w:pPr>
      <w:r>
        <w:rPr>
          <w:rFonts w:hint="eastAsia" w:cs="Arial"/>
          <w:bCs/>
          <w:kern w:val="2"/>
          <w:sz w:val="21"/>
          <w:szCs w:val="21"/>
        </w:rPr>
        <w:t>公司根据《公司法》等有关法律法规和公司《章程》，建立规范的公司治理结构和议事规则，明确决策、执行、监督等方面的职责权限，形成了科学有效的职责分工和制衡机制。</w:t>
      </w:r>
    </w:p>
    <w:p w14:paraId="38DD4AA6">
      <w:pPr>
        <w:pStyle w:val="82"/>
        <w:shd w:val="clear" w:color="auto" w:fill="FFFFFF"/>
        <w:spacing w:before="0" w:beforeAutospacing="0" w:after="0" w:afterAutospacing="0" w:line="312" w:lineRule="auto"/>
        <w:ind w:right="-115" w:rightChars="-55" w:firstLine="420" w:firstLineChars="200"/>
        <w:textAlignment w:val="baseline"/>
        <w:rPr>
          <w:rFonts w:cs="Arial"/>
          <w:bCs/>
          <w:kern w:val="2"/>
          <w:sz w:val="21"/>
          <w:szCs w:val="21"/>
        </w:rPr>
      </w:pPr>
      <w:r>
        <w:rPr>
          <w:rFonts w:hint="eastAsia" w:cs="Arial"/>
          <w:bCs/>
          <w:kern w:val="2"/>
          <w:sz w:val="21"/>
          <w:szCs w:val="21"/>
        </w:rPr>
        <w:t>股东大会享有法律法规和公司《章程》规定的合法权利，依法行使公司经营方针、利润分配等重大事项的表决权；董事会对股东大会负责，依法行使公司的经营决策权；监事会对股东大会负责，监督公司董事、经理和其他高级管理人员依法履行职责；经理层负责组织实施股东大会、董事会决议事项，主持公司的生产经营管理工作。</w:t>
      </w:r>
    </w:p>
    <w:p w14:paraId="24DA4B68">
      <w:pPr>
        <w:pStyle w:val="82"/>
        <w:shd w:val="clear" w:color="auto" w:fill="FFFFFF"/>
        <w:spacing w:before="0" w:beforeAutospacing="0" w:after="0" w:afterAutospacing="0" w:line="312" w:lineRule="auto"/>
        <w:ind w:right="-115" w:rightChars="-55" w:firstLine="420" w:firstLineChars="200"/>
        <w:textAlignment w:val="baseline"/>
        <w:rPr>
          <w:rFonts w:cs="Arial"/>
          <w:bCs/>
          <w:kern w:val="2"/>
          <w:sz w:val="21"/>
          <w:szCs w:val="21"/>
        </w:rPr>
      </w:pPr>
      <w:r>
        <w:rPr>
          <w:rFonts w:hint="eastAsia" w:cs="Arial"/>
          <w:bCs/>
          <w:kern w:val="2"/>
          <w:sz w:val="21"/>
          <w:szCs w:val="21"/>
        </w:rPr>
        <w:t>股东大会享有法律法规和公司《章程》规定的合法权利，依法行使公司经营方针、利润分配等重大事项的表决权；董事会对股东大会负责，依法行使公司的经营决策权；监事会对股东大会负责，监督公司董事、经理和其他高级管理人员依法履行职责；经理层负责组织实施股东大会、董事会决议事项，主持公司的生产经营管理工作。</w:t>
      </w:r>
    </w:p>
    <w:p w14:paraId="5228A4D1">
      <w:pPr>
        <w:pStyle w:val="82"/>
        <w:shd w:val="clear" w:color="auto" w:fill="FFFFFF"/>
        <w:spacing w:before="0" w:beforeAutospacing="0" w:after="0" w:afterAutospacing="0" w:line="312" w:lineRule="auto"/>
        <w:ind w:right="-115" w:rightChars="-55" w:firstLine="422" w:firstLineChars="200"/>
        <w:textAlignment w:val="baseline"/>
        <w:rPr>
          <w:rFonts w:cs="Arial"/>
          <w:b/>
          <w:kern w:val="2"/>
          <w:sz w:val="21"/>
          <w:szCs w:val="21"/>
        </w:rPr>
      </w:pPr>
      <w:r>
        <w:rPr>
          <w:rFonts w:hint="eastAsia" w:cs="Arial"/>
          <w:b/>
          <w:kern w:val="2"/>
          <w:sz w:val="21"/>
          <w:szCs w:val="21"/>
        </w:rPr>
        <w:t>（2）股东沟通</w:t>
      </w:r>
    </w:p>
    <w:p w14:paraId="26679797">
      <w:pPr>
        <w:pStyle w:val="82"/>
        <w:shd w:val="clear" w:color="auto" w:fill="FFFFFF"/>
        <w:spacing w:before="0" w:beforeAutospacing="0" w:after="0" w:afterAutospacing="0" w:line="312" w:lineRule="auto"/>
        <w:ind w:right="-2" w:firstLine="420" w:firstLineChars="200"/>
        <w:textAlignment w:val="baseline"/>
        <w:rPr>
          <w:rFonts w:cs="Arial"/>
          <w:bCs/>
          <w:kern w:val="2"/>
          <w:sz w:val="21"/>
          <w:szCs w:val="21"/>
        </w:rPr>
      </w:pPr>
      <w:r>
        <w:rPr>
          <w:rFonts w:hint="eastAsia" w:cs="Arial"/>
          <w:bCs/>
          <w:kern w:val="2"/>
          <w:sz w:val="21"/>
          <w:szCs w:val="21"/>
        </w:rPr>
        <w:t>公司遵循“公平、公正、公开”的原则，通过股东大会、电话等措施，保证沟通渠道顺畅，方便投资者和公司沟通、互动。</w:t>
      </w:r>
    </w:p>
    <w:p w14:paraId="2044A3AE">
      <w:pPr>
        <w:pStyle w:val="82"/>
        <w:shd w:val="clear" w:color="auto" w:fill="FFFFFF"/>
        <w:spacing w:before="0" w:beforeAutospacing="0" w:after="0" w:afterAutospacing="0" w:line="312" w:lineRule="auto"/>
        <w:ind w:right="-2" w:firstLine="422" w:firstLineChars="200"/>
        <w:textAlignment w:val="baseline"/>
        <w:rPr>
          <w:rFonts w:cs="Arial"/>
          <w:b/>
          <w:kern w:val="2"/>
          <w:sz w:val="21"/>
          <w:szCs w:val="21"/>
        </w:rPr>
      </w:pPr>
      <w:r>
        <w:rPr>
          <w:rFonts w:hint="eastAsia" w:cs="Arial"/>
          <w:b/>
          <w:kern w:val="2"/>
          <w:sz w:val="21"/>
          <w:szCs w:val="21"/>
        </w:rPr>
        <w:t>（3）创造价值，回报股东</w:t>
      </w:r>
    </w:p>
    <w:p w14:paraId="6429843D">
      <w:pPr>
        <w:pStyle w:val="82"/>
        <w:shd w:val="clear" w:color="auto" w:fill="FFFFFF"/>
        <w:spacing w:before="0" w:beforeAutospacing="0" w:after="0" w:afterAutospacing="0" w:line="312" w:lineRule="auto"/>
        <w:ind w:right="-2" w:firstLine="420" w:firstLineChars="200"/>
        <w:textAlignment w:val="baseline"/>
        <w:rPr>
          <w:rFonts w:cs="Arial"/>
          <w:bCs/>
          <w:kern w:val="2"/>
          <w:sz w:val="21"/>
          <w:szCs w:val="21"/>
          <w:highlight w:val="yellow"/>
        </w:rPr>
      </w:pPr>
      <w:r>
        <w:rPr>
          <w:rFonts w:hint="eastAsia" w:cs="Arial"/>
          <w:bCs/>
          <w:kern w:val="2"/>
          <w:sz w:val="21"/>
          <w:szCs w:val="21"/>
        </w:rPr>
        <w:t>公司发展战略清晰，主业聚焦，经营稳健扩张。公司《章程》对现金分红及股票股利分配的条件、分配比例、决策机制等事项进行了明确，积极保障股东权益。在保证对主业发展足够投入的前提下，结合公司业绩，积极实施利润分配方案。公司每年年底对各股东进行分红。</w:t>
      </w:r>
    </w:p>
    <w:p w14:paraId="1BAFE7A2">
      <w:pPr>
        <w:pStyle w:val="82"/>
        <w:shd w:val="clear" w:color="auto" w:fill="FFFFFF"/>
        <w:spacing w:before="0" w:beforeAutospacing="0" w:after="0" w:afterAutospacing="0" w:line="360" w:lineRule="auto"/>
        <w:ind w:right="-2"/>
        <w:textAlignment w:val="baseline"/>
        <w:outlineLvl w:val="1"/>
        <w:rPr>
          <w:b/>
        </w:rPr>
      </w:pPr>
      <w:bookmarkStart w:id="14" w:name="_Toc28362"/>
      <w:r>
        <w:rPr>
          <w:rFonts w:hint="eastAsia"/>
          <w:b/>
        </w:rPr>
        <w:t>3、员工权益保护</w:t>
      </w:r>
      <w:bookmarkEnd w:id="14"/>
    </w:p>
    <w:p w14:paraId="59DC4DED">
      <w:pPr>
        <w:pStyle w:val="141"/>
        <w:adjustRightInd w:val="0"/>
        <w:spacing w:line="312" w:lineRule="auto"/>
        <w:ind w:firstLine="525" w:firstLineChars="250"/>
        <w:rPr>
          <w:rFonts w:ascii="宋体" w:hAnsi="宋体"/>
          <w:b/>
          <w:szCs w:val="21"/>
        </w:rPr>
      </w:pPr>
      <w:r>
        <w:rPr>
          <w:rFonts w:hint="eastAsia" w:cs="Arial"/>
          <w:bCs/>
          <w:szCs w:val="21"/>
        </w:rPr>
        <w:t>公司尊重员工价值创造，为员工创造良好的工作平台和发展环境的同时，积极推行平台引才、借智发展政策，科学系统地形成了一整套规范、灵活、切合燎原实际的用人机制，充分调动凝聚士气，共谋发展。</w:t>
      </w:r>
    </w:p>
    <w:p w14:paraId="10862F5C">
      <w:pPr>
        <w:pStyle w:val="82"/>
        <w:shd w:val="clear" w:color="auto" w:fill="FFFFFF"/>
        <w:spacing w:before="0" w:beforeAutospacing="0" w:after="0" w:afterAutospacing="0" w:line="312" w:lineRule="auto"/>
        <w:ind w:firstLine="420" w:firstLineChars="200"/>
        <w:textAlignment w:val="baseline"/>
        <w:rPr>
          <w:rFonts w:asciiTheme="minorEastAsia" w:hAnsiTheme="minorEastAsia" w:eastAsiaTheme="minorEastAsia"/>
          <w:b/>
          <w:bCs/>
          <w:sz w:val="21"/>
          <w:szCs w:val="21"/>
        </w:rPr>
      </w:pPr>
      <w:r>
        <w:rPr>
          <w:rFonts w:hint="eastAsia" w:cs="Arial"/>
          <w:bCs/>
          <w:kern w:val="2"/>
          <w:sz w:val="21"/>
          <w:szCs w:val="21"/>
        </w:rPr>
        <w:t>公司严格遵守《劳动合同法》，保障员工的合法权益。建立了包括薪酬体系、激励机制、社会保险、住房公积金、职工医疗补助基金在内的薪酬和福利制度，保护员工合法权益；建立了完善的劳动保护制度，根据岗位特征为员工配发工装及必要的劳动保护用品；并为员工提供良好的工作环境。</w:t>
      </w:r>
    </w:p>
    <w:p w14:paraId="31B341D2">
      <w:pPr>
        <w:pStyle w:val="141"/>
        <w:adjustRightInd w:val="0"/>
        <w:spacing w:before="156" w:beforeLines="50" w:line="360" w:lineRule="auto"/>
        <w:ind w:firstLine="422" w:firstLineChars="200"/>
        <w:rPr>
          <w:rFonts w:ascii="宋体" w:hAnsi="宋体"/>
          <w:b/>
          <w:szCs w:val="21"/>
        </w:rPr>
      </w:pPr>
      <w:r>
        <w:rPr>
          <w:rFonts w:hint="eastAsia" w:ascii="宋体" w:hAnsi="宋体"/>
          <w:b/>
          <w:szCs w:val="21"/>
        </w:rPr>
        <w:t>（1）</w:t>
      </w:r>
      <w:r>
        <w:rPr>
          <w:rFonts w:ascii="宋体" w:hAnsi="宋体"/>
          <w:b/>
          <w:szCs w:val="21"/>
        </w:rPr>
        <w:t>薪资福利</w:t>
      </w:r>
    </w:p>
    <w:p w14:paraId="0268819A">
      <w:pPr>
        <w:spacing w:line="312" w:lineRule="auto"/>
        <w:ind w:firstLine="420" w:firstLineChars="200"/>
        <w:rPr>
          <w:rFonts w:ascii="宋体" w:hAnsi="宋体"/>
          <w:szCs w:val="21"/>
        </w:rPr>
      </w:pPr>
      <w:r>
        <w:rPr>
          <w:rFonts w:ascii="宋体" w:hAnsi="宋体" w:cs="Arial"/>
          <w:bCs/>
          <w:szCs w:val="21"/>
        </w:rPr>
        <w:t>公司建立合理的薪酬福利体系和科学完善的</w:t>
      </w:r>
      <w:r>
        <w:rPr>
          <w:rFonts w:hint="eastAsia" w:ascii="宋体" w:hAnsi="宋体" w:cs="Arial"/>
          <w:bCs/>
          <w:szCs w:val="21"/>
        </w:rPr>
        <w:t>绩效</w:t>
      </w:r>
      <w:r>
        <w:rPr>
          <w:rFonts w:ascii="宋体" w:hAnsi="宋体" w:cs="Arial"/>
          <w:bCs/>
          <w:szCs w:val="21"/>
        </w:rPr>
        <w:t>管理体系。</w:t>
      </w:r>
      <w:r>
        <w:rPr>
          <w:rFonts w:hint="eastAsia" w:ascii="宋体" w:hAnsi="宋体" w:cs="Arial"/>
          <w:bCs/>
          <w:szCs w:val="21"/>
        </w:rPr>
        <w:t>人力资源部结合公司业务发展状况、市场行情和公司战略，制定或修订公司薪酬制度或薪酬水平，确保公司的薪酬具备足够的市场竞争力；在相对“同工同酬”的基本框架下，同岗位的员工根据绩效成绩的差异会有不同实际薪酬。通过将绩效考核的月度</w:t>
      </w:r>
      <w:r>
        <w:rPr>
          <w:rFonts w:ascii="宋体" w:hAnsi="宋体" w:cs="Arial"/>
          <w:bCs/>
          <w:szCs w:val="21"/>
        </w:rPr>
        <w:t>与年度相结合，</w:t>
      </w:r>
      <w:r>
        <w:rPr>
          <w:rFonts w:hint="eastAsia" w:ascii="宋体" w:hAnsi="宋体" w:cs="Arial"/>
          <w:bCs/>
          <w:szCs w:val="21"/>
        </w:rPr>
        <w:t>一方面将考核情况及需改时的意见及时反馈给员工，帮助员工改进工作，另一方面</w:t>
      </w:r>
      <w:r>
        <w:rPr>
          <w:rFonts w:ascii="宋体" w:hAnsi="宋体" w:cs="Arial"/>
          <w:bCs/>
          <w:szCs w:val="21"/>
        </w:rPr>
        <w:t>将考核结果与员工的薪酬待遇、岗位调整、培训开发及</w:t>
      </w:r>
      <w:r>
        <w:rPr>
          <w:rFonts w:hint="eastAsia" w:ascii="宋体" w:hAnsi="宋体" w:cs="Arial"/>
          <w:bCs/>
          <w:szCs w:val="21"/>
        </w:rPr>
        <w:t>年度评优</w:t>
      </w:r>
      <w:r>
        <w:rPr>
          <w:rFonts w:ascii="宋体" w:hAnsi="宋体" w:cs="Arial"/>
          <w:bCs/>
          <w:szCs w:val="21"/>
        </w:rPr>
        <w:t>挂钩，建立能上能下</w:t>
      </w:r>
      <w:r>
        <w:rPr>
          <w:rFonts w:hint="eastAsia" w:ascii="宋体" w:hAnsi="宋体" w:cs="Arial"/>
          <w:bCs/>
          <w:szCs w:val="21"/>
        </w:rPr>
        <w:t>的</w:t>
      </w:r>
      <w:r>
        <w:rPr>
          <w:rFonts w:ascii="宋体" w:hAnsi="宋体" w:cs="Arial"/>
          <w:bCs/>
          <w:szCs w:val="21"/>
        </w:rPr>
        <w:t>用人机制，以实现人才在公司内部各岗位的优化配置，促进</w:t>
      </w:r>
      <w:r>
        <w:rPr>
          <w:rFonts w:hint="eastAsia" w:ascii="宋体" w:hAnsi="宋体" w:cs="Arial"/>
          <w:bCs/>
          <w:szCs w:val="21"/>
        </w:rPr>
        <w:t>了</w:t>
      </w:r>
      <w:r>
        <w:rPr>
          <w:rFonts w:ascii="宋体" w:hAnsi="宋体" w:cs="Arial"/>
          <w:bCs/>
          <w:szCs w:val="21"/>
        </w:rPr>
        <w:t>高素质、精干、高效的员工队伍</w:t>
      </w:r>
      <w:r>
        <w:rPr>
          <w:rFonts w:hint="eastAsia" w:ascii="宋体" w:hAnsi="宋体" w:cs="Arial"/>
          <w:bCs/>
          <w:szCs w:val="21"/>
        </w:rPr>
        <w:t>的</w:t>
      </w:r>
      <w:r>
        <w:rPr>
          <w:rFonts w:ascii="宋体" w:hAnsi="宋体" w:cs="Arial"/>
          <w:bCs/>
          <w:szCs w:val="21"/>
        </w:rPr>
        <w:t>建</w:t>
      </w:r>
      <w:r>
        <w:rPr>
          <w:rFonts w:hint="eastAsia" w:ascii="宋体" w:hAnsi="宋体" w:cs="宋体"/>
          <w:color w:val="000000"/>
          <w:szCs w:val="21"/>
        </w:rPr>
        <w:t>设</w:t>
      </w:r>
      <w:r>
        <w:rPr>
          <w:rFonts w:ascii="宋体" w:hAnsi="宋体" w:cs="宋体"/>
          <w:color w:val="000000"/>
          <w:szCs w:val="21"/>
        </w:rPr>
        <w:t>。</w:t>
      </w:r>
    </w:p>
    <w:p w14:paraId="076EB148">
      <w:pPr>
        <w:spacing w:line="312" w:lineRule="auto"/>
        <w:ind w:right="-2" w:firstLine="420" w:firstLineChars="200"/>
        <w:rPr>
          <w:rFonts w:hAnsi="宋体"/>
          <w:szCs w:val="21"/>
        </w:rPr>
      </w:pPr>
      <w:r>
        <w:rPr>
          <w:rFonts w:hint="eastAsia" w:hAnsi="宋体"/>
          <w:szCs w:val="21"/>
        </w:rPr>
        <w:t>公司保障员工合法权益，按照国家相关法定假日的规定安排员工休假和带薪年休假制度。</w:t>
      </w:r>
      <w:r>
        <w:rPr>
          <w:rFonts w:hAnsi="宋体"/>
          <w:szCs w:val="21"/>
        </w:rPr>
        <w:t>缴纳“五险”，努力为员工提供健康、安全的生产和生活环境，切实维护员工的切身和合法利益。</w:t>
      </w:r>
    </w:p>
    <w:p w14:paraId="09F06FAA">
      <w:pPr>
        <w:pStyle w:val="392"/>
        <w:spacing w:line="312" w:lineRule="auto"/>
        <w:ind w:right="325" w:rightChars="155" w:firstLine="420" w:firstLineChars="200"/>
        <w:rPr>
          <w:rFonts w:asciiTheme="minorEastAsia" w:hAnsiTheme="minorEastAsia" w:eastAsiaTheme="minorEastAsia"/>
          <w:color w:val="000000" w:themeColor="text1"/>
          <w:sz w:val="21"/>
          <w:szCs w:val="21"/>
        </w:rPr>
      </w:pPr>
      <w:r>
        <w:rPr>
          <w:rFonts w:hint="eastAsia" w:ascii="Calibri" w:hAnsi="宋体"/>
          <w:color w:val="auto"/>
          <w:kern w:val="2"/>
          <w:sz w:val="21"/>
          <w:szCs w:val="21"/>
        </w:rPr>
        <w:t>福利是在基本工资和绩效工资以外，为解决员工后顾之忧所提供的一定保障。</w:t>
      </w:r>
      <w:r>
        <w:rPr>
          <w:rFonts w:hint="eastAsia" w:asciiTheme="minorEastAsia" w:hAnsiTheme="minorEastAsia" w:eastAsiaTheme="minorEastAsia"/>
          <w:color w:val="000000" w:themeColor="text1"/>
          <w:sz w:val="21"/>
          <w:szCs w:val="21"/>
        </w:rPr>
        <w:t>公司福利如下表：</w:t>
      </w:r>
    </w:p>
    <w:p w14:paraId="3444E714">
      <w:pPr>
        <w:adjustRightInd w:val="0"/>
        <w:jc w:val="center"/>
        <w:rPr>
          <w:rFonts w:ascii="宋体" w:hAnsi="宋体"/>
          <w:b/>
          <w:kern w:val="0"/>
          <w:szCs w:val="21"/>
        </w:rPr>
      </w:pPr>
      <w:r>
        <w:rPr>
          <w:rFonts w:hint="eastAsia" w:ascii="宋体" w:hAnsi="宋体"/>
          <w:b/>
          <w:color w:val="000000"/>
          <w:szCs w:val="21"/>
        </w:rPr>
        <w:t xml:space="preserve">图表8 </w:t>
      </w:r>
      <w:r>
        <w:rPr>
          <w:rFonts w:hint="eastAsia" w:ascii="宋体" w:hAnsi="宋体"/>
          <w:b/>
          <w:kern w:val="0"/>
          <w:szCs w:val="21"/>
        </w:rPr>
        <w:t>员工福利政策</w:t>
      </w:r>
    </w:p>
    <w:tbl>
      <w:tblPr>
        <w:tblStyle w:val="88"/>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699"/>
        <w:gridCol w:w="1845"/>
        <w:gridCol w:w="3969"/>
      </w:tblGrid>
      <w:tr w14:paraId="065B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shd w:val="clear" w:color="auto" w:fill="DCE6F2" w:themeFill="accent1" w:themeFillTint="32"/>
            <w:vAlign w:val="center"/>
          </w:tcPr>
          <w:p w14:paraId="5915C90F">
            <w:pPr>
              <w:pStyle w:val="392"/>
              <w:spacing w:line="360" w:lineRule="auto"/>
              <w:ind w:right="325" w:rightChars="155"/>
              <w:jc w:val="center"/>
              <w:rPr>
                <w:b/>
                <w:color w:val="auto"/>
                <w:sz w:val="21"/>
                <w:szCs w:val="21"/>
              </w:rPr>
            </w:pPr>
            <w:r>
              <w:rPr>
                <w:rFonts w:hint="eastAsia"/>
                <w:b/>
                <w:color w:val="auto"/>
                <w:sz w:val="21"/>
                <w:szCs w:val="21"/>
              </w:rPr>
              <w:t>福利类别</w:t>
            </w:r>
          </w:p>
        </w:tc>
        <w:tc>
          <w:tcPr>
            <w:tcW w:w="1699" w:type="dxa"/>
            <w:shd w:val="clear" w:color="auto" w:fill="DCE6F2" w:themeFill="accent1" w:themeFillTint="32"/>
            <w:vAlign w:val="center"/>
          </w:tcPr>
          <w:p w14:paraId="33442468">
            <w:pPr>
              <w:pStyle w:val="392"/>
              <w:spacing w:line="360" w:lineRule="auto"/>
              <w:ind w:right="325" w:rightChars="155"/>
              <w:jc w:val="center"/>
              <w:rPr>
                <w:b/>
                <w:color w:val="auto"/>
                <w:sz w:val="21"/>
                <w:szCs w:val="21"/>
              </w:rPr>
            </w:pPr>
            <w:r>
              <w:rPr>
                <w:rFonts w:hint="eastAsia"/>
                <w:b/>
                <w:color w:val="auto"/>
                <w:sz w:val="21"/>
                <w:szCs w:val="21"/>
              </w:rPr>
              <w:t>项  目</w:t>
            </w:r>
          </w:p>
        </w:tc>
        <w:tc>
          <w:tcPr>
            <w:tcW w:w="1845" w:type="dxa"/>
            <w:shd w:val="clear" w:color="auto" w:fill="DCE6F2" w:themeFill="accent1" w:themeFillTint="32"/>
            <w:vAlign w:val="center"/>
          </w:tcPr>
          <w:p w14:paraId="228050E1">
            <w:pPr>
              <w:pStyle w:val="392"/>
              <w:spacing w:line="360" w:lineRule="auto"/>
              <w:ind w:right="325" w:rightChars="155"/>
              <w:jc w:val="center"/>
              <w:rPr>
                <w:b/>
                <w:color w:val="auto"/>
                <w:sz w:val="21"/>
                <w:szCs w:val="21"/>
              </w:rPr>
            </w:pPr>
            <w:r>
              <w:rPr>
                <w:rFonts w:hint="eastAsia"/>
                <w:b/>
                <w:color w:val="auto"/>
                <w:sz w:val="21"/>
                <w:szCs w:val="21"/>
              </w:rPr>
              <w:t>范  围</w:t>
            </w:r>
          </w:p>
        </w:tc>
        <w:tc>
          <w:tcPr>
            <w:tcW w:w="3969" w:type="dxa"/>
            <w:shd w:val="clear" w:color="auto" w:fill="DCE6F2" w:themeFill="accent1" w:themeFillTint="32"/>
            <w:vAlign w:val="center"/>
          </w:tcPr>
          <w:p w14:paraId="5F21ACF0">
            <w:pPr>
              <w:pStyle w:val="392"/>
              <w:spacing w:line="360" w:lineRule="auto"/>
              <w:ind w:right="325" w:rightChars="155"/>
              <w:jc w:val="center"/>
              <w:rPr>
                <w:b/>
                <w:color w:val="auto"/>
                <w:sz w:val="21"/>
                <w:szCs w:val="21"/>
              </w:rPr>
            </w:pPr>
            <w:r>
              <w:rPr>
                <w:rFonts w:hint="eastAsia"/>
                <w:b/>
                <w:color w:val="auto"/>
                <w:sz w:val="21"/>
                <w:szCs w:val="21"/>
              </w:rPr>
              <w:t>标  准</w:t>
            </w:r>
          </w:p>
        </w:tc>
      </w:tr>
      <w:tr w14:paraId="480C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Align w:val="center"/>
          </w:tcPr>
          <w:p w14:paraId="5224DE39">
            <w:pPr>
              <w:pStyle w:val="392"/>
              <w:spacing w:line="360" w:lineRule="auto"/>
              <w:ind w:right="325" w:rightChars="155"/>
              <w:rPr>
                <w:b/>
                <w:sz w:val="21"/>
                <w:szCs w:val="21"/>
              </w:rPr>
            </w:pPr>
            <w:r>
              <w:rPr>
                <w:rFonts w:hint="eastAsia"/>
                <w:b/>
                <w:sz w:val="21"/>
                <w:szCs w:val="21"/>
              </w:rPr>
              <w:t>法定福利</w:t>
            </w:r>
            <w:r>
              <w:rPr>
                <w:b/>
                <w:sz w:val="21"/>
                <w:szCs w:val="21"/>
              </w:rPr>
              <w:t xml:space="preserve"> </w:t>
            </w:r>
          </w:p>
        </w:tc>
        <w:tc>
          <w:tcPr>
            <w:tcW w:w="1699" w:type="dxa"/>
            <w:vAlign w:val="center"/>
          </w:tcPr>
          <w:p w14:paraId="0FF750DB">
            <w:pPr>
              <w:pStyle w:val="392"/>
              <w:spacing w:line="276" w:lineRule="auto"/>
              <w:ind w:right="3"/>
              <w:rPr>
                <w:sz w:val="21"/>
                <w:szCs w:val="21"/>
              </w:rPr>
            </w:pPr>
            <w:r>
              <w:rPr>
                <w:rFonts w:hint="eastAsia"/>
                <w:sz w:val="21"/>
                <w:szCs w:val="21"/>
              </w:rPr>
              <w:t>社会保险</w:t>
            </w:r>
            <w:r>
              <w:rPr>
                <w:sz w:val="21"/>
                <w:szCs w:val="21"/>
              </w:rPr>
              <w:t xml:space="preserve"> </w:t>
            </w:r>
          </w:p>
        </w:tc>
        <w:tc>
          <w:tcPr>
            <w:tcW w:w="1845" w:type="dxa"/>
            <w:vAlign w:val="center"/>
          </w:tcPr>
          <w:p w14:paraId="3BF411F0">
            <w:pPr>
              <w:pStyle w:val="392"/>
              <w:spacing w:line="276" w:lineRule="auto"/>
              <w:rPr>
                <w:sz w:val="21"/>
                <w:szCs w:val="21"/>
              </w:rPr>
            </w:pPr>
            <w:r>
              <w:rPr>
                <w:rFonts w:hint="eastAsia"/>
                <w:sz w:val="21"/>
                <w:szCs w:val="21"/>
              </w:rPr>
              <w:t>所有员工</w:t>
            </w:r>
            <w:r>
              <w:rPr>
                <w:sz w:val="21"/>
                <w:szCs w:val="21"/>
              </w:rPr>
              <w:t xml:space="preserve"> </w:t>
            </w:r>
          </w:p>
        </w:tc>
        <w:tc>
          <w:tcPr>
            <w:tcW w:w="3969" w:type="dxa"/>
            <w:vAlign w:val="center"/>
          </w:tcPr>
          <w:p w14:paraId="0424FE75">
            <w:pPr>
              <w:pStyle w:val="392"/>
              <w:spacing w:line="276" w:lineRule="auto"/>
              <w:ind w:right="325" w:rightChars="155"/>
              <w:rPr>
                <w:sz w:val="21"/>
                <w:szCs w:val="21"/>
              </w:rPr>
            </w:pPr>
            <w:r>
              <w:rPr>
                <w:rFonts w:hint="eastAsia"/>
                <w:sz w:val="21"/>
                <w:szCs w:val="21"/>
              </w:rPr>
              <w:t>按国家及台州地区法律法规执行</w:t>
            </w:r>
            <w:r>
              <w:rPr>
                <w:sz w:val="21"/>
                <w:szCs w:val="21"/>
              </w:rPr>
              <w:t xml:space="preserve"> </w:t>
            </w:r>
          </w:p>
        </w:tc>
      </w:tr>
      <w:tr w14:paraId="2AF2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restart"/>
            <w:vAlign w:val="center"/>
          </w:tcPr>
          <w:p w14:paraId="6D0DB939">
            <w:pPr>
              <w:pStyle w:val="392"/>
              <w:spacing w:line="360" w:lineRule="auto"/>
              <w:ind w:right="325" w:rightChars="155"/>
              <w:rPr>
                <w:b/>
                <w:sz w:val="21"/>
                <w:szCs w:val="21"/>
              </w:rPr>
            </w:pPr>
            <w:r>
              <w:rPr>
                <w:rFonts w:hint="eastAsia"/>
                <w:b/>
                <w:sz w:val="21"/>
                <w:szCs w:val="21"/>
              </w:rPr>
              <w:t>普惠福利</w:t>
            </w:r>
            <w:r>
              <w:rPr>
                <w:b/>
                <w:sz w:val="21"/>
                <w:szCs w:val="21"/>
              </w:rPr>
              <w:t xml:space="preserve"> </w:t>
            </w:r>
          </w:p>
        </w:tc>
        <w:tc>
          <w:tcPr>
            <w:tcW w:w="1699" w:type="dxa"/>
            <w:vAlign w:val="center"/>
          </w:tcPr>
          <w:p w14:paraId="4AD77128">
            <w:pPr>
              <w:pStyle w:val="392"/>
              <w:spacing w:line="276" w:lineRule="auto"/>
              <w:ind w:right="3"/>
              <w:rPr>
                <w:sz w:val="21"/>
                <w:szCs w:val="21"/>
              </w:rPr>
            </w:pPr>
            <w:r>
              <w:rPr>
                <w:rFonts w:hint="eastAsia"/>
                <w:sz w:val="21"/>
                <w:szCs w:val="21"/>
              </w:rPr>
              <w:t>工作餐</w:t>
            </w:r>
            <w:r>
              <w:rPr>
                <w:sz w:val="21"/>
                <w:szCs w:val="21"/>
              </w:rPr>
              <w:t xml:space="preserve"> </w:t>
            </w:r>
          </w:p>
        </w:tc>
        <w:tc>
          <w:tcPr>
            <w:tcW w:w="1845" w:type="dxa"/>
            <w:vAlign w:val="center"/>
          </w:tcPr>
          <w:p w14:paraId="6DBAAED1">
            <w:pPr>
              <w:pStyle w:val="392"/>
              <w:spacing w:line="276" w:lineRule="auto"/>
              <w:rPr>
                <w:sz w:val="21"/>
                <w:szCs w:val="21"/>
              </w:rPr>
            </w:pPr>
            <w:r>
              <w:rPr>
                <w:rFonts w:hint="eastAsia"/>
                <w:sz w:val="21"/>
                <w:szCs w:val="21"/>
              </w:rPr>
              <w:t>所有员工</w:t>
            </w:r>
            <w:r>
              <w:rPr>
                <w:sz w:val="21"/>
                <w:szCs w:val="21"/>
              </w:rPr>
              <w:t xml:space="preserve"> </w:t>
            </w:r>
          </w:p>
        </w:tc>
        <w:tc>
          <w:tcPr>
            <w:tcW w:w="3969" w:type="dxa"/>
            <w:vAlign w:val="center"/>
          </w:tcPr>
          <w:p w14:paraId="49EB0D90">
            <w:pPr>
              <w:pStyle w:val="392"/>
              <w:spacing w:line="276" w:lineRule="auto"/>
              <w:ind w:right="325" w:rightChars="155"/>
              <w:rPr>
                <w:sz w:val="21"/>
                <w:szCs w:val="21"/>
              </w:rPr>
            </w:pPr>
            <w:r>
              <w:rPr>
                <w:rFonts w:hint="eastAsia"/>
                <w:sz w:val="21"/>
                <w:szCs w:val="21"/>
              </w:rPr>
              <w:t>在公司食堂免费享用工作餐</w:t>
            </w:r>
            <w:r>
              <w:rPr>
                <w:sz w:val="21"/>
                <w:szCs w:val="21"/>
              </w:rPr>
              <w:t xml:space="preserve"> </w:t>
            </w:r>
          </w:p>
        </w:tc>
      </w:tr>
      <w:tr w14:paraId="45F4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2234D2A8">
            <w:pPr>
              <w:pStyle w:val="392"/>
              <w:spacing w:line="360" w:lineRule="auto"/>
              <w:ind w:right="325" w:rightChars="155"/>
              <w:rPr>
                <w:sz w:val="21"/>
                <w:szCs w:val="21"/>
              </w:rPr>
            </w:pPr>
          </w:p>
        </w:tc>
        <w:tc>
          <w:tcPr>
            <w:tcW w:w="1699" w:type="dxa"/>
            <w:vAlign w:val="center"/>
          </w:tcPr>
          <w:p w14:paraId="331E8961">
            <w:pPr>
              <w:pStyle w:val="392"/>
              <w:spacing w:line="276" w:lineRule="auto"/>
              <w:ind w:right="3"/>
              <w:rPr>
                <w:sz w:val="21"/>
                <w:szCs w:val="21"/>
              </w:rPr>
            </w:pPr>
            <w:r>
              <w:rPr>
                <w:rFonts w:hint="eastAsia"/>
                <w:sz w:val="21"/>
                <w:szCs w:val="21"/>
              </w:rPr>
              <w:t>员工宿舍</w:t>
            </w:r>
            <w:r>
              <w:rPr>
                <w:sz w:val="21"/>
                <w:szCs w:val="21"/>
              </w:rPr>
              <w:t xml:space="preserve"> </w:t>
            </w:r>
          </w:p>
        </w:tc>
        <w:tc>
          <w:tcPr>
            <w:tcW w:w="1845" w:type="dxa"/>
            <w:vAlign w:val="center"/>
          </w:tcPr>
          <w:p w14:paraId="41123FDE">
            <w:pPr>
              <w:pStyle w:val="392"/>
              <w:spacing w:line="276" w:lineRule="auto"/>
              <w:rPr>
                <w:sz w:val="21"/>
                <w:szCs w:val="21"/>
              </w:rPr>
            </w:pPr>
            <w:r>
              <w:rPr>
                <w:rFonts w:hint="eastAsia"/>
                <w:sz w:val="21"/>
                <w:szCs w:val="21"/>
              </w:rPr>
              <w:t>有需求员工</w:t>
            </w:r>
            <w:r>
              <w:rPr>
                <w:sz w:val="21"/>
                <w:szCs w:val="21"/>
              </w:rPr>
              <w:t xml:space="preserve"> </w:t>
            </w:r>
          </w:p>
        </w:tc>
        <w:tc>
          <w:tcPr>
            <w:tcW w:w="3969" w:type="dxa"/>
            <w:vAlign w:val="center"/>
          </w:tcPr>
          <w:p w14:paraId="511C73AC">
            <w:pPr>
              <w:pStyle w:val="392"/>
              <w:spacing w:line="276" w:lineRule="auto"/>
              <w:ind w:right="325" w:rightChars="155"/>
              <w:rPr>
                <w:sz w:val="21"/>
                <w:szCs w:val="21"/>
              </w:rPr>
            </w:pPr>
            <w:r>
              <w:rPr>
                <w:rFonts w:hint="eastAsia"/>
                <w:sz w:val="21"/>
                <w:szCs w:val="21"/>
              </w:rPr>
              <w:t>配置空调、电视的集体宿舍</w:t>
            </w:r>
            <w:r>
              <w:rPr>
                <w:sz w:val="21"/>
                <w:szCs w:val="21"/>
              </w:rPr>
              <w:t xml:space="preserve"> </w:t>
            </w:r>
          </w:p>
        </w:tc>
      </w:tr>
      <w:tr w14:paraId="4A73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27B305D8">
            <w:pPr>
              <w:pStyle w:val="392"/>
              <w:spacing w:line="360" w:lineRule="auto"/>
              <w:ind w:right="325" w:rightChars="155"/>
              <w:rPr>
                <w:sz w:val="21"/>
                <w:szCs w:val="21"/>
              </w:rPr>
            </w:pPr>
          </w:p>
        </w:tc>
        <w:tc>
          <w:tcPr>
            <w:tcW w:w="1699" w:type="dxa"/>
            <w:vAlign w:val="center"/>
          </w:tcPr>
          <w:p w14:paraId="1307ABAA">
            <w:pPr>
              <w:pStyle w:val="392"/>
              <w:spacing w:line="276" w:lineRule="auto"/>
              <w:ind w:right="3"/>
              <w:rPr>
                <w:sz w:val="21"/>
                <w:szCs w:val="21"/>
              </w:rPr>
            </w:pPr>
            <w:r>
              <w:rPr>
                <w:rFonts w:hint="eastAsia"/>
                <w:sz w:val="21"/>
                <w:szCs w:val="21"/>
              </w:rPr>
              <w:t>工作服</w:t>
            </w:r>
            <w:r>
              <w:rPr>
                <w:sz w:val="21"/>
                <w:szCs w:val="21"/>
              </w:rPr>
              <w:t xml:space="preserve"> </w:t>
            </w:r>
          </w:p>
        </w:tc>
        <w:tc>
          <w:tcPr>
            <w:tcW w:w="1845" w:type="dxa"/>
            <w:vAlign w:val="center"/>
          </w:tcPr>
          <w:p w14:paraId="7239BD65">
            <w:pPr>
              <w:pStyle w:val="392"/>
              <w:spacing w:line="276" w:lineRule="auto"/>
              <w:rPr>
                <w:sz w:val="21"/>
                <w:szCs w:val="21"/>
              </w:rPr>
            </w:pPr>
            <w:r>
              <w:rPr>
                <w:rFonts w:hint="eastAsia"/>
                <w:sz w:val="21"/>
                <w:szCs w:val="21"/>
              </w:rPr>
              <w:t>生产岗位员工</w:t>
            </w:r>
          </w:p>
        </w:tc>
        <w:tc>
          <w:tcPr>
            <w:tcW w:w="3969" w:type="dxa"/>
            <w:vAlign w:val="center"/>
          </w:tcPr>
          <w:p w14:paraId="1796B327">
            <w:pPr>
              <w:pStyle w:val="392"/>
              <w:spacing w:line="276" w:lineRule="auto"/>
              <w:ind w:right="325" w:rightChars="155"/>
              <w:rPr>
                <w:sz w:val="21"/>
                <w:szCs w:val="21"/>
              </w:rPr>
            </w:pPr>
            <w:r>
              <w:rPr>
                <w:rFonts w:hint="eastAsia"/>
                <w:sz w:val="21"/>
                <w:szCs w:val="21"/>
              </w:rPr>
              <w:t>统一配发工作服、工作鞋</w:t>
            </w:r>
          </w:p>
        </w:tc>
      </w:tr>
      <w:tr w14:paraId="064B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30F2418D">
            <w:pPr>
              <w:pStyle w:val="392"/>
              <w:spacing w:line="360" w:lineRule="auto"/>
              <w:ind w:right="325" w:rightChars="155"/>
              <w:rPr>
                <w:sz w:val="21"/>
                <w:szCs w:val="21"/>
              </w:rPr>
            </w:pPr>
          </w:p>
        </w:tc>
        <w:tc>
          <w:tcPr>
            <w:tcW w:w="1699" w:type="dxa"/>
            <w:vAlign w:val="center"/>
          </w:tcPr>
          <w:p w14:paraId="11664DB5">
            <w:pPr>
              <w:pStyle w:val="392"/>
              <w:spacing w:line="276" w:lineRule="auto"/>
              <w:ind w:right="3"/>
              <w:rPr>
                <w:sz w:val="21"/>
                <w:szCs w:val="21"/>
              </w:rPr>
            </w:pPr>
            <w:r>
              <w:rPr>
                <w:rFonts w:hint="eastAsia"/>
                <w:sz w:val="21"/>
                <w:szCs w:val="21"/>
              </w:rPr>
              <w:t>高温福利</w:t>
            </w:r>
            <w:r>
              <w:rPr>
                <w:sz w:val="21"/>
                <w:szCs w:val="21"/>
              </w:rPr>
              <w:t xml:space="preserve"> </w:t>
            </w:r>
          </w:p>
        </w:tc>
        <w:tc>
          <w:tcPr>
            <w:tcW w:w="1845" w:type="dxa"/>
            <w:vAlign w:val="center"/>
          </w:tcPr>
          <w:p w14:paraId="0A120451">
            <w:pPr>
              <w:pStyle w:val="392"/>
              <w:spacing w:line="276" w:lineRule="auto"/>
              <w:rPr>
                <w:sz w:val="21"/>
                <w:szCs w:val="21"/>
              </w:rPr>
            </w:pPr>
            <w:r>
              <w:rPr>
                <w:rFonts w:hint="eastAsia"/>
                <w:sz w:val="21"/>
                <w:szCs w:val="21"/>
              </w:rPr>
              <w:t>所有员工</w:t>
            </w:r>
            <w:r>
              <w:rPr>
                <w:sz w:val="21"/>
                <w:szCs w:val="21"/>
              </w:rPr>
              <w:t xml:space="preserve"> </w:t>
            </w:r>
          </w:p>
        </w:tc>
        <w:tc>
          <w:tcPr>
            <w:tcW w:w="3969" w:type="dxa"/>
            <w:vAlign w:val="center"/>
          </w:tcPr>
          <w:p w14:paraId="44D177D1">
            <w:pPr>
              <w:pStyle w:val="392"/>
              <w:spacing w:line="276" w:lineRule="auto"/>
              <w:ind w:right="325" w:rightChars="155"/>
              <w:rPr>
                <w:sz w:val="21"/>
                <w:szCs w:val="21"/>
              </w:rPr>
            </w:pPr>
            <w:r>
              <w:rPr>
                <w:rFonts w:hint="eastAsia"/>
                <w:sz w:val="21"/>
                <w:szCs w:val="21"/>
              </w:rPr>
              <w:t>公司在夏季为员工发放高温福利</w:t>
            </w:r>
            <w:r>
              <w:rPr>
                <w:sz w:val="21"/>
                <w:szCs w:val="21"/>
              </w:rPr>
              <w:t xml:space="preserve"> </w:t>
            </w:r>
          </w:p>
        </w:tc>
      </w:tr>
      <w:tr w14:paraId="1B88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1CFF3D2E">
            <w:pPr>
              <w:pStyle w:val="392"/>
              <w:spacing w:line="360" w:lineRule="auto"/>
              <w:ind w:right="325" w:rightChars="155"/>
            </w:pPr>
          </w:p>
        </w:tc>
        <w:tc>
          <w:tcPr>
            <w:tcW w:w="1699" w:type="dxa"/>
            <w:vAlign w:val="center"/>
          </w:tcPr>
          <w:p w14:paraId="26971238">
            <w:pPr>
              <w:pStyle w:val="392"/>
              <w:spacing w:line="276" w:lineRule="auto"/>
              <w:ind w:right="3"/>
              <w:rPr>
                <w:sz w:val="21"/>
                <w:szCs w:val="21"/>
              </w:rPr>
            </w:pPr>
            <w:r>
              <w:rPr>
                <w:rFonts w:hint="eastAsia"/>
                <w:sz w:val="21"/>
                <w:szCs w:val="21"/>
              </w:rPr>
              <w:t>体检</w:t>
            </w:r>
            <w:r>
              <w:rPr>
                <w:sz w:val="21"/>
                <w:szCs w:val="21"/>
              </w:rPr>
              <w:t xml:space="preserve"> </w:t>
            </w:r>
          </w:p>
        </w:tc>
        <w:tc>
          <w:tcPr>
            <w:tcW w:w="1845" w:type="dxa"/>
            <w:vAlign w:val="center"/>
          </w:tcPr>
          <w:p w14:paraId="5266F011">
            <w:pPr>
              <w:pStyle w:val="392"/>
              <w:spacing w:line="276" w:lineRule="auto"/>
              <w:rPr>
                <w:sz w:val="21"/>
                <w:szCs w:val="21"/>
              </w:rPr>
            </w:pPr>
            <w:r>
              <w:rPr>
                <w:rFonts w:hint="eastAsia"/>
                <w:sz w:val="21"/>
                <w:szCs w:val="21"/>
              </w:rPr>
              <w:t>所有员工</w:t>
            </w:r>
          </w:p>
        </w:tc>
        <w:tc>
          <w:tcPr>
            <w:tcW w:w="3969" w:type="dxa"/>
            <w:vAlign w:val="center"/>
          </w:tcPr>
          <w:p w14:paraId="2BD1154E">
            <w:pPr>
              <w:pStyle w:val="392"/>
              <w:spacing w:line="276" w:lineRule="auto"/>
              <w:ind w:right="325" w:rightChars="155"/>
              <w:rPr>
                <w:sz w:val="21"/>
                <w:szCs w:val="21"/>
              </w:rPr>
            </w:pPr>
            <w:r>
              <w:rPr>
                <w:rFonts w:hint="eastAsia"/>
                <w:sz w:val="21"/>
                <w:szCs w:val="21"/>
              </w:rPr>
              <w:t>规定的体检项目</w:t>
            </w:r>
            <w:r>
              <w:rPr>
                <w:sz w:val="21"/>
                <w:szCs w:val="21"/>
              </w:rPr>
              <w:t xml:space="preserve"> </w:t>
            </w:r>
          </w:p>
        </w:tc>
      </w:tr>
      <w:tr w14:paraId="4601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3287F073">
            <w:pPr>
              <w:pStyle w:val="392"/>
              <w:spacing w:line="360" w:lineRule="auto"/>
              <w:ind w:right="325" w:rightChars="155"/>
            </w:pPr>
          </w:p>
        </w:tc>
        <w:tc>
          <w:tcPr>
            <w:tcW w:w="1699" w:type="dxa"/>
            <w:vAlign w:val="center"/>
          </w:tcPr>
          <w:p w14:paraId="6882CE66">
            <w:pPr>
              <w:pStyle w:val="392"/>
              <w:spacing w:line="276" w:lineRule="auto"/>
              <w:ind w:right="3"/>
              <w:rPr>
                <w:sz w:val="21"/>
                <w:szCs w:val="21"/>
              </w:rPr>
            </w:pPr>
            <w:r>
              <w:rPr>
                <w:rFonts w:hint="eastAsia"/>
                <w:sz w:val="21"/>
                <w:szCs w:val="21"/>
              </w:rPr>
              <w:t>职业健康体检</w:t>
            </w:r>
          </w:p>
        </w:tc>
        <w:tc>
          <w:tcPr>
            <w:tcW w:w="1845" w:type="dxa"/>
            <w:vAlign w:val="center"/>
          </w:tcPr>
          <w:p w14:paraId="499A3AE5">
            <w:pPr>
              <w:pStyle w:val="392"/>
              <w:spacing w:line="276" w:lineRule="auto"/>
              <w:rPr>
                <w:sz w:val="21"/>
                <w:szCs w:val="21"/>
              </w:rPr>
            </w:pPr>
            <w:r>
              <w:rPr>
                <w:rFonts w:hint="eastAsia"/>
                <w:sz w:val="21"/>
                <w:szCs w:val="21"/>
              </w:rPr>
              <w:t>相关岗位员工</w:t>
            </w:r>
          </w:p>
        </w:tc>
        <w:tc>
          <w:tcPr>
            <w:tcW w:w="3969" w:type="dxa"/>
            <w:vAlign w:val="center"/>
          </w:tcPr>
          <w:p w14:paraId="31F5DFF5">
            <w:pPr>
              <w:pStyle w:val="392"/>
              <w:spacing w:line="276" w:lineRule="auto"/>
              <w:ind w:right="325" w:rightChars="155"/>
              <w:rPr>
                <w:sz w:val="21"/>
                <w:szCs w:val="21"/>
              </w:rPr>
            </w:pPr>
            <w:r>
              <w:rPr>
                <w:rFonts w:hint="eastAsia"/>
                <w:sz w:val="21"/>
                <w:szCs w:val="21"/>
              </w:rPr>
              <w:t>试用期和每年一次职业健康体检</w:t>
            </w:r>
          </w:p>
        </w:tc>
      </w:tr>
      <w:tr w14:paraId="5DC7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3EF1D7D7">
            <w:pPr>
              <w:pStyle w:val="392"/>
              <w:spacing w:line="360" w:lineRule="auto"/>
              <w:ind w:right="325" w:rightChars="155"/>
            </w:pPr>
          </w:p>
        </w:tc>
        <w:tc>
          <w:tcPr>
            <w:tcW w:w="1699" w:type="dxa"/>
            <w:vAlign w:val="center"/>
          </w:tcPr>
          <w:p w14:paraId="64E20B98">
            <w:pPr>
              <w:pStyle w:val="392"/>
              <w:spacing w:line="276" w:lineRule="auto"/>
              <w:ind w:right="3"/>
              <w:rPr>
                <w:sz w:val="21"/>
                <w:szCs w:val="21"/>
              </w:rPr>
            </w:pPr>
            <w:r>
              <w:rPr>
                <w:rFonts w:hint="eastAsia"/>
                <w:sz w:val="21"/>
                <w:szCs w:val="21"/>
              </w:rPr>
              <w:t>节日福利</w:t>
            </w:r>
            <w:r>
              <w:rPr>
                <w:sz w:val="21"/>
                <w:szCs w:val="21"/>
              </w:rPr>
              <w:t xml:space="preserve"> </w:t>
            </w:r>
          </w:p>
        </w:tc>
        <w:tc>
          <w:tcPr>
            <w:tcW w:w="1845" w:type="dxa"/>
            <w:vAlign w:val="center"/>
          </w:tcPr>
          <w:p w14:paraId="3FF01D8F">
            <w:pPr>
              <w:pStyle w:val="392"/>
              <w:spacing w:line="276" w:lineRule="auto"/>
              <w:rPr>
                <w:sz w:val="21"/>
                <w:szCs w:val="21"/>
              </w:rPr>
            </w:pPr>
            <w:r>
              <w:rPr>
                <w:rFonts w:hint="eastAsia"/>
                <w:sz w:val="21"/>
                <w:szCs w:val="21"/>
              </w:rPr>
              <w:t>所有员工</w:t>
            </w:r>
            <w:r>
              <w:rPr>
                <w:sz w:val="21"/>
                <w:szCs w:val="21"/>
              </w:rPr>
              <w:t xml:space="preserve"> </w:t>
            </w:r>
          </w:p>
        </w:tc>
        <w:tc>
          <w:tcPr>
            <w:tcW w:w="3969" w:type="dxa"/>
            <w:vAlign w:val="center"/>
          </w:tcPr>
          <w:p w14:paraId="6AE6B6C1">
            <w:pPr>
              <w:pStyle w:val="392"/>
              <w:spacing w:line="276" w:lineRule="auto"/>
              <w:ind w:right="325" w:rightChars="155"/>
              <w:rPr>
                <w:sz w:val="21"/>
                <w:szCs w:val="21"/>
              </w:rPr>
            </w:pPr>
            <w:r>
              <w:rPr>
                <w:rFonts w:hint="eastAsia"/>
                <w:sz w:val="21"/>
                <w:szCs w:val="21"/>
              </w:rPr>
              <w:t>在端午、中秋、春节等中国传统节日，统一发放节日礼品</w:t>
            </w:r>
          </w:p>
        </w:tc>
      </w:tr>
      <w:tr w14:paraId="7FD2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43826093">
            <w:pPr>
              <w:pStyle w:val="392"/>
              <w:spacing w:line="360" w:lineRule="auto"/>
              <w:ind w:right="325" w:rightChars="155"/>
            </w:pPr>
          </w:p>
        </w:tc>
        <w:tc>
          <w:tcPr>
            <w:tcW w:w="1699" w:type="dxa"/>
            <w:vAlign w:val="center"/>
          </w:tcPr>
          <w:p w14:paraId="718D7091">
            <w:pPr>
              <w:pStyle w:val="392"/>
              <w:spacing w:line="276" w:lineRule="auto"/>
              <w:ind w:right="3"/>
              <w:rPr>
                <w:sz w:val="21"/>
                <w:szCs w:val="21"/>
              </w:rPr>
            </w:pPr>
            <w:r>
              <w:rPr>
                <w:rFonts w:hint="eastAsia"/>
                <w:sz w:val="21"/>
                <w:szCs w:val="21"/>
              </w:rPr>
              <w:t>生日福利</w:t>
            </w:r>
          </w:p>
        </w:tc>
        <w:tc>
          <w:tcPr>
            <w:tcW w:w="1845" w:type="dxa"/>
            <w:vAlign w:val="center"/>
          </w:tcPr>
          <w:p w14:paraId="0B66F3E8">
            <w:pPr>
              <w:pStyle w:val="392"/>
              <w:spacing w:line="276" w:lineRule="auto"/>
              <w:rPr>
                <w:sz w:val="21"/>
                <w:szCs w:val="21"/>
              </w:rPr>
            </w:pPr>
            <w:r>
              <w:rPr>
                <w:rFonts w:hint="eastAsia"/>
                <w:sz w:val="21"/>
                <w:szCs w:val="21"/>
              </w:rPr>
              <w:t>所有员工</w:t>
            </w:r>
            <w:r>
              <w:rPr>
                <w:sz w:val="21"/>
                <w:szCs w:val="21"/>
              </w:rPr>
              <w:t xml:space="preserve"> </w:t>
            </w:r>
          </w:p>
        </w:tc>
        <w:tc>
          <w:tcPr>
            <w:tcW w:w="3969" w:type="dxa"/>
            <w:vAlign w:val="center"/>
          </w:tcPr>
          <w:p w14:paraId="1476F2C3">
            <w:pPr>
              <w:pStyle w:val="392"/>
              <w:spacing w:line="276" w:lineRule="auto"/>
              <w:ind w:right="325" w:rightChars="155"/>
              <w:rPr>
                <w:sz w:val="21"/>
                <w:szCs w:val="21"/>
              </w:rPr>
            </w:pPr>
            <w:r>
              <w:rPr>
                <w:rFonts w:hint="eastAsia"/>
                <w:sz w:val="21"/>
                <w:szCs w:val="21"/>
              </w:rPr>
              <w:t>生日蛋糕</w:t>
            </w:r>
          </w:p>
        </w:tc>
      </w:tr>
      <w:tr w14:paraId="4C47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09E3E663">
            <w:pPr>
              <w:pStyle w:val="392"/>
              <w:spacing w:line="360" w:lineRule="auto"/>
              <w:ind w:right="325" w:rightChars="155"/>
            </w:pPr>
          </w:p>
        </w:tc>
        <w:tc>
          <w:tcPr>
            <w:tcW w:w="1699" w:type="dxa"/>
            <w:vAlign w:val="center"/>
          </w:tcPr>
          <w:p w14:paraId="2C6F3209">
            <w:pPr>
              <w:pStyle w:val="392"/>
              <w:spacing w:line="276" w:lineRule="auto"/>
              <w:ind w:right="3"/>
              <w:rPr>
                <w:sz w:val="21"/>
                <w:szCs w:val="21"/>
              </w:rPr>
            </w:pPr>
            <w:r>
              <w:rPr>
                <w:rFonts w:hint="eastAsia"/>
                <w:sz w:val="21"/>
                <w:szCs w:val="21"/>
              </w:rPr>
              <w:t>探望生病员工</w:t>
            </w:r>
            <w:r>
              <w:rPr>
                <w:sz w:val="21"/>
                <w:szCs w:val="21"/>
              </w:rPr>
              <w:t xml:space="preserve"> </w:t>
            </w:r>
          </w:p>
        </w:tc>
        <w:tc>
          <w:tcPr>
            <w:tcW w:w="1845" w:type="dxa"/>
            <w:vAlign w:val="center"/>
          </w:tcPr>
          <w:p w14:paraId="6EFBF04E">
            <w:pPr>
              <w:pStyle w:val="392"/>
              <w:spacing w:line="276" w:lineRule="auto"/>
              <w:rPr>
                <w:sz w:val="21"/>
                <w:szCs w:val="21"/>
              </w:rPr>
            </w:pPr>
            <w:r>
              <w:rPr>
                <w:rFonts w:hint="eastAsia"/>
                <w:sz w:val="21"/>
                <w:szCs w:val="21"/>
              </w:rPr>
              <w:t>生病住院员工</w:t>
            </w:r>
            <w:r>
              <w:rPr>
                <w:sz w:val="21"/>
                <w:szCs w:val="21"/>
              </w:rPr>
              <w:t xml:space="preserve"> </w:t>
            </w:r>
          </w:p>
        </w:tc>
        <w:tc>
          <w:tcPr>
            <w:tcW w:w="3969" w:type="dxa"/>
            <w:vAlign w:val="center"/>
          </w:tcPr>
          <w:p w14:paraId="10C16BC0">
            <w:pPr>
              <w:pStyle w:val="392"/>
              <w:spacing w:line="276" w:lineRule="auto"/>
              <w:ind w:right="325" w:rightChars="155"/>
              <w:rPr>
                <w:sz w:val="21"/>
                <w:szCs w:val="21"/>
              </w:rPr>
            </w:pPr>
            <w:r>
              <w:rPr>
                <w:rFonts w:hint="eastAsia"/>
                <w:sz w:val="21"/>
                <w:szCs w:val="21"/>
              </w:rPr>
              <w:t>慰问品</w:t>
            </w:r>
            <w:r>
              <w:rPr>
                <w:sz w:val="21"/>
                <w:szCs w:val="21"/>
              </w:rPr>
              <w:t xml:space="preserve"> </w:t>
            </w:r>
          </w:p>
        </w:tc>
      </w:tr>
    </w:tbl>
    <w:p w14:paraId="0D1416A6">
      <w:pPr>
        <w:pStyle w:val="141"/>
        <w:adjustRightInd w:val="0"/>
        <w:spacing w:line="312" w:lineRule="auto"/>
        <w:ind w:right="325" w:rightChars="155" w:firstLine="422" w:firstLineChars="200"/>
        <w:rPr>
          <w:rFonts w:ascii="宋体" w:hAnsi="宋体"/>
          <w:b/>
          <w:szCs w:val="21"/>
        </w:rPr>
      </w:pPr>
      <w:r>
        <w:rPr>
          <w:rFonts w:hint="eastAsia" w:ascii="宋体" w:hAnsi="宋体"/>
          <w:b/>
          <w:szCs w:val="21"/>
        </w:rPr>
        <w:t>（2）员工学习和发展</w:t>
      </w:r>
    </w:p>
    <w:p w14:paraId="24B210F0">
      <w:pPr>
        <w:pStyle w:val="82"/>
        <w:shd w:val="clear" w:color="auto" w:fill="FFFFFF"/>
        <w:spacing w:before="0" w:beforeAutospacing="0" w:after="0" w:afterAutospacing="0" w:line="312" w:lineRule="auto"/>
        <w:ind w:firstLine="420" w:firstLineChars="200"/>
        <w:textAlignment w:val="baseline"/>
        <w:rPr>
          <w:rFonts w:ascii="Times New Roman" w:hAnsi="Times New Roman" w:cs="Times New Roman"/>
          <w:sz w:val="21"/>
          <w:szCs w:val="21"/>
        </w:rPr>
      </w:pPr>
      <w:r>
        <w:rPr>
          <w:rFonts w:hint="eastAsia" w:cs="Times New Roman"/>
          <w:sz w:val="21"/>
          <w:szCs w:val="21"/>
          <w:lang w:val="zh-CN"/>
        </w:rPr>
        <w:t>公司致力于打造学习型、知识型的新型企业，十分注重员工培训与职业规划，提高员工</w:t>
      </w:r>
      <w:r>
        <w:rPr>
          <w:rFonts w:hint="eastAsia" w:ascii="Times New Roman" w:hAnsi="Times New Roman" w:cs="Times New Roman"/>
          <w:sz w:val="21"/>
          <w:szCs w:val="21"/>
        </w:rPr>
        <w:t>自身素质和综合能力，为员工提供更多的发展机会和广阔的舞台，实现企业个人双赢。</w:t>
      </w:r>
    </w:p>
    <w:p w14:paraId="30A2FF1E">
      <w:pPr>
        <w:pStyle w:val="141"/>
        <w:adjustRightInd w:val="0"/>
        <w:spacing w:line="312" w:lineRule="auto"/>
        <w:ind w:firstLine="422" w:firstLineChars="200"/>
        <w:rPr>
          <w:rFonts w:ascii="宋体" w:hAnsi="宋体"/>
          <w:b/>
          <w:szCs w:val="21"/>
        </w:rPr>
      </w:pPr>
      <w:r>
        <w:rPr>
          <w:rFonts w:hint="eastAsia" w:asciiTheme="minorEastAsia" w:hAnsiTheme="minorEastAsia" w:eastAsiaTheme="minorEastAsia" w:cstheme="minorEastAsia"/>
          <w:b/>
          <w:szCs w:val="21"/>
        </w:rPr>
        <w:t>①</w:t>
      </w:r>
      <w:r>
        <w:rPr>
          <w:rFonts w:hint="eastAsia" w:ascii="宋体" w:hAnsi="宋体"/>
          <w:b/>
          <w:szCs w:val="21"/>
        </w:rPr>
        <w:t>员工培训</w:t>
      </w:r>
    </w:p>
    <w:p w14:paraId="52706B4D">
      <w:pPr>
        <w:pStyle w:val="82"/>
        <w:shd w:val="clear" w:color="auto" w:fill="FFFFFF"/>
        <w:spacing w:before="0" w:beforeAutospacing="0" w:after="0" w:afterAutospacing="0" w:line="312" w:lineRule="auto"/>
        <w:ind w:right="-2" w:firstLine="420" w:firstLineChars="200"/>
        <w:textAlignment w:val="baseline"/>
        <w:rPr>
          <w:rFonts w:cs="Arial"/>
          <w:bCs/>
          <w:kern w:val="2"/>
          <w:sz w:val="21"/>
          <w:szCs w:val="21"/>
        </w:rPr>
      </w:pPr>
      <w:r>
        <w:rPr>
          <w:rFonts w:hint="eastAsia" w:ascii="Times New Roman" w:hAnsi="Times New Roman" w:cs="Times New Roman"/>
          <w:sz w:val="21"/>
          <w:szCs w:val="21"/>
        </w:rPr>
        <w:t>公司建立培训方案，旨在为每一位员工提供学习、深造和提高技能素质的机会，帮助员工在适应企业快速发展需要的同时，能拓展更大的发展空间。</w:t>
      </w:r>
      <w:r>
        <w:rPr>
          <w:rFonts w:hint="eastAsia" w:cs="Arial"/>
          <w:bCs/>
          <w:kern w:val="2"/>
          <w:sz w:val="21"/>
          <w:szCs w:val="21"/>
        </w:rPr>
        <w:t xml:space="preserve">    </w:t>
      </w:r>
    </w:p>
    <w:p w14:paraId="4FF8B1C0">
      <w:pPr>
        <w:adjustRightInd w:val="0"/>
        <w:spacing w:line="312" w:lineRule="auto"/>
        <w:ind w:firstLine="420" w:firstLineChars="200"/>
        <w:rPr>
          <w:kern w:val="0"/>
          <w:szCs w:val="21"/>
        </w:rPr>
      </w:pPr>
      <w:r>
        <w:rPr>
          <w:rFonts w:hint="eastAsia"/>
          <w:kern w:val="0"/>
          <w:szCs w:val="21"/>
        </w:rPr>
        <w:t>公司每年</w:t>
      </w:r>
      <w:r>
        <w:rPr>
          <w:rFonts w:hint="eastAsia" w:asciiTheme="minorEastAsia" w:hAnsiTheme="minorEastAsia" w:eastAsiaTheme="minorEastAsia"/>
          <w:kern w:val="0"/>
          <w:szCs w:val="21"/>
        </w:rPr>
        <w:t>12</w:t>
      </w:r>
      <w:r>
        <w:rPr>
          <w:rFonts w:hint="eastAsia"/>
          <w:kern w:val="0"/>
          <w:szCs w:val="21"/>
        </w:rPr>
        <w:t>月份会根据公司情况及与各部门沟通，</w:t>
      </w:r>
      <w:r>
        <w:rPr>
          <w:kern w:val="0"/>
          <w:szCs w:val="21"/>
        </w:rPr>
        <w:t>确定各级人员的培训需求，公司共有的培训需求和部门专门的培训需求分别作为人力资源部门和各相应部门制定培训计划的依据，最终形成</w:t>
      </w:r>
      <w:r>
        <w:rPr>
          <w:rFonts w:hint="eastAsia"/>
          <w:kern w:val="0"/>
          <w:szCs w:val="21"/>
        </w:rPr>
        <w:t>培训</w:t>
      </w:r>
      <w:r>
        <w:rPr>
          <w:kern w:val="0"/>
          <w:szCs w:val="21"/>
        </w:rPr>
        <w:t>计划表。</w:t>
      </w:r>
    </w:p>
    <w:p w14:paraId="76501DD3">
      <w:pPr>
        <w:adjustRightInd w:val="0"/>
        <w:spacing w:line="312" w:lineRule="auto"/>
        <w:ind w:right="-2"/>
        <w:jc w:val="center"/>
        <w:rPr>
          <w:kern w:val="0"/>
          <w:szCs w:val="21"/>
        </w:rPr>
      </w:pPr>
      <w:r>
        <w:rPr>
          <w:rFonts w:hint="eastAsia" w:ascii="宋体" w:hAnsi="宋体"/>
          <w:b/>
          <w:color w:val="000000"/>
          <w:szCs w:val="21"/>
        </w:rPr>
        <w:t xml:space="preserve">图表9 </w:t>
      </w:r>
      <w:r>
        <w:rPr>
          <w:rFonts w:hint="eastAsia" w:ascii="宋体" w:hAnsi="宋体"/>
          <w:b/>
          <w:color w:val="000000"/>
          <w:szCs w:val="21"/>
          <w:lang w:eastAsia="zh-CN"/>
        </w:rPr>
        <w:t>2025</w:t>
      </w:r>
      <w:r>
        <w:rPr>
          <w:rFonts w:hint="eastAsia" w:ascii="宋体" w:hAnsi="宋体"/>
          <w:b/>
          <w:color w:val="000000"/>
          <w:szCs w:val="21"/>
        </w:rPr>
        <w:t>年</w:t>
      </w:r>
      <w:r>
        <w:rPr>
          <w:rFonts w:hint="eastAsia" w:ascii="宋体" w:hAnsi="宋体"/>
          <w:b/>
          <w:kern w:val="0"/>
          <w:szCs w:val="21"/>
        </w:rPr>
        <w:t>培训计划和完成情况</w:t>
      </w:r>
    </w:p>
    <w:tbl>
      <w:tblPr>
        <w:tblStyle w:val="88"/>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3020"/>
        <w:gridCol w:w="1681"/>
        <w:gridCol w:w="1265"/>
        <w:gridCol w:w="1225"/>
        <w:gridCol w:w="1225"/>
      </w:tblGrid>
      <w:tr w14:paraId="79AB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shd w:val="clear" w:color="auto" w:fill="DCE6F2" w:themeFill="accent1" w:themeFillTint="32"/>
            <w:vAlign w:val="center"/>
          </w:tcPr>
          <w:p w14:paraId="48DB9747">
            <w:pPr>
              <w:jc w:val="center"/>
              <w:rPr>
                <w:szCs w:val="21"/>
              </w:rPr>
            </w:pPr>
            <w:r>
              <w:rPr>
                <w:rFonts w:hAnsi="宋体"/>
                <w:szCs w:val="21"/>
              </w:rPr>
              <w:t>序号</w:t>
            </w:r>
          </w:p>
        </w:tc>
        <w:tc>
          <w:tcPr>
            <w:tcW w:w="3020" w:type="dxa"/>
            <w:shd w:val="clear" w:color="auto" w:fill="DCE6F2" w:themeFill="accent1" w:themeFillTint="32"/>
            <w:vAlign w:val="center"/>
          </w:tcPr>
          <w:p w14:paraId="1700A508">
            <w:pPr>
              <w:jc w:val="center"/>
              <w:rPr>
                <w:szCs w:val="21"/>
              </w:rPr>
            </w:pPr>
            <w:r>
              <w:rPr>
                <w:szCs w:val="21"/>
              </w:rPr>
              <w:t>培训项目</w:t>
            </w:r>
          </w:p>
        </w:tc>
        <w:tc>
          <w:tcPr>
            <w:tcW w:w="1681" w:type="dxa"/>
            <w:shd w:val="clear" w:color="auto" w:fill="DCE6F2" w:themeFill="accent1" w:themeFillTint="32"/>
            <w:vAlign w:val="center"/>
          </w:tcPr>
          <w:p w14:paraId="6F1976CE">
            <w:pPr>
              <w:jc w:val="center"/>
              <w:rPr>
                <w:szCs w:val="21"/>
              </w:rPr>
            </w:pPr>
            <w:r>
              <w:rPr>
                <w:szCs w:val="21"/>
              </w:rPr>
              <w:t>对象</w:t>
            </w:r>
          </w:p>
        </w:tc>
        <w:tc>
          <w:tcPr>
            <w:tcW w:w="1265" w:type="dxa"/>
            <w:shd w:val="clear" w:color="auto" w:fill="DCE6F2" w:themeFill="accent1" w:themeFillTint="32"/>
            <w:vAlign w:val="center"/>
          </w:tcPr>
          <w:p w14:paraId="0F046716">
            <w:pPr>
              <w:jc w:val="center"/>
              <w:rPr>
                <w:szCs w:val="21"/>
              </w:rPr>
            </w:pPr>
            <w:r>
              <w:rPr>
                <w:szCs w:val="21"/>
              </w:rPr>
              <w:t>培训方式</w:t>
            </w:r>
          </w:p>
        </w:tc>
        <w:tc>
          <w:tcPr>
            <w:tcW w:w="1225" w:type="dxa"/>
            <w:shd w:val="clear" w:color="auto" w:fill="DCE6F2" w:themeFill="accent1" w:themeFillTint="32"/>
            <w:vAlign w:val="center"/>
          </w:tcPr>
          <w:p w14:paraId="0944EC70">
            <w:pPr>
              <w:jc w:val="center"/>
              <w:rPr>
                <w:szCs w:val="21"/>
              </w:rPr>
            </w:pPr>
            <w:r>
              <w:rPr>
                <w:szCs w:val="21"/>
              </w:rPr>
              <w:t>培训课时</w:t>
            </w:r>
          </w:p>
        </w:tc>
        <w:tc>
          <w:tcPr>
            <w:tcW w:w="1225" w:type="dxa"/>
            <w:shd w:val="clear" w:color="auto" w:fill="DCE6F2" w:themeFill="accent1" w:themeFillTint="32"/>
            <w:vAlign w:val="center"/>
          </w:tcPr>
          <w:p w14:paraId="4FBFA478">
            <w:pPr>
              <w:jc w:val="center"/>
              <w:rPr>
                <w:szCs w:val="21"/>
              </w:rPr>
            </w:pPr>
            <w:r>
              <w:rPr>
                <w:szCs w:val="21"/>
              </w:rPr>
              <w:t>实施时间</w:t>
            </w:r>
          </w:p>
        </w:tc>
      </w:tr>
      <w:tr w14:paraId="3A87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37BE22FA">
            <w:pPr>
              <w:jc w:val="center"/>
              <w:rPr>
                <w:szCs w:val="21"/>
              </w:rPr>
            </w:pPr>
            <w:r>
              <w:rPr>
                <w:rFonts w:hint="eastAsia"/>
                <w:szCs w:val="21"/>
              </w:rPr>
              <w:t>1</w:t>
            </w:r>
          </w:p>
        </w:tc>
        <w:tc>
          <w:tcPr>
            <w:tcW w:w="3020" w:type="dxa"/>
            <w:vAlign w:val="center"/>
          </w:tcPr>
          <w:p w14:paraId="313EE43C">
            <w:pPr>
              <w:jc w:val="center"/>
              <w:rPr>
                <w:szCs w:val="21"/>
              </w:rPr>
            </w:pPr>
            <w:r>
              <w:rPr>
                <w:rFonts w:hint="eastAsia"/>
                <w:szCs w:val="21"/>
              </w:rPr>
              <w:t>企业知识产权管理培训</w:t>
            </w:r>
          </w:p>
        </w:tc>
        <w:tc>
          <w:tcPr>
            <w:tcW w:w="1681" w:type="dxa"/>
            <w:vAlign w:val="center"/>
          </w:tcPr>
          <w:p w14:paraId="5D54DFA4">
            <w:pPr>
              <w:jc w:val="center"/>
              <w:rPr>
                <w:szCs w:val="21"/>
              </w:rPr>
            </w:pPr>
            <w:r>
              <w:rPr>
                <w:rFonts w:hint="eastAsia"/>
                <w:szCs w:val="21"/>
              </w:rPr>
              <w:t>各部门负责人</w:t>
            </w:r>
          </w:p>
        </w:tc>
        <w:tc>
          <w:tcPr>
            <w:tcW w:w="1265" w:type="dxa"/>
            <w:vAlign w:val="center"/>
          </w:tcPr>
          <w:p w14:paraId="799593EF">
            <w:pPr>
              <w:jc w:val="center"/>
              <w:rPr>
                <w:szCs w:val="21"/>
              </w:rPr>
            </w:pPr>
            <w:r>
              <w:rPr>
                <w:rFonts w:hint="eastAsia"/>
                <w:szCs w:val="21"/>
              </w:rPr>
              <w:t>面授</w:t>
            </w:r>
          </w:p>
        </w:tc>
        <w:tc>
          <w:tcPr>
            <w:tcW w:w="1225" w:type="dxa"/>
            <w:vAlign w:val="center"/>
          </w:tcPr>
          <w:p w14:paraId="36310F7A">
            <w:pPr>
              <w:jc w:val="center"/>
              <w:rPr>
                <w:szCs w:val="21"/>
              </w:rPr>
            </w:pPr>
            <w:r>
              <w:rPr>
                <w:rFonts w:hint="eastAsia"/>
                <w:szCs w:val="21"/>
              </w:rPr>
              <w:t>4H</w:t>
            </w:r>
          </w:p>
        </w:tc>
        <w:tc>
          <w:tcPr>
            <w:tcW w:w="1225" w:type="dxa"/>
            <w:vAlign w:val="center"/>
          </w:tcPr>
          <w:p w14:paraId="2A7DAB90">
            <w:pPr>
              <w:jc w:val="center"/>
              <w:rPr>
                <w:szCs w:val="21"/>
              </w:rPr>
            </w:pPr>
            <w:r>
              <w:rPr>
                <w:rFonts w:hint="eastAsia"/>
                <w:szCs w:val="21"/>
                <w:lang w:eastAsia="zh-CN"/>
              </w:rPr>
              <w:t>2025</w:t>
            </w:r>
            <w:r>
              <w:rPr>
                <w:rFonts w:hint="eastAsia"/>
                <w:szCs w:val="21"/>
              </w:rPr>
              <w:t>.02</w:t>
            </w:r>
          </w:p>
        </w:tc>
      </w:tr>
      <w:tr w14:paraId="2876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4A010C7A">
            <w:pPr>
              <w:jc w:val="center"/>
              <w:rPr>
                <w:szCs w:val="21"/>
              </w:rPr>
            </w:pPr>
            <w:r>
              <w:rPr>
                <w:rFonts w:hint="eastAsia"/>
                <w:szCs w:val="21"/>
              </w:rPr>
              <w:t>2</w:t>
            </w:r>
          </w:p>
        </w:tc>
        <w:tc>
          <w:tcPr>
            <w:tcW w:w="3020" w:type="dxa"/>
            <w:vAlign w:val="center"/>
          </w:tcPr>
          <w:p w14:paraId="5C6C5D43">
            <w:pPr>
              <w:jc w:val="center"/>
              <w:rPr>
                <w:szCs w:val="21"/>
              </w:rPr>
            </w:pPr>
            <w:r>
              <w:rPr>
                <w:rFonts w:hint="eastAsia"/>
                <w:szCs w:val="21"/>
              </w:rPr>
              <w:t>车间安全管理培训</w:t>
            </w:r>
          </w:p>
        </w:tc>
        <w:tc>
          <w:tcPr>
            <w:tcW w:w="1681" w:type="dxa"/>
            <w:vAlign w:val="center"/>
          </w:tcPr>
          <w:p w14:paraId="3B3395B5">
            <w:pPr>
              <w:jc w:val="center"/>
              <w:rPr>
                <w:szCs w:val="21"/>
              </w:rPr>
            </w:pPr>
            <w:r>
              <w:rPr>
                <w:rFonts w:hint="eastAsia"/>
                <w:szCs w:val="21"/>
              </w:rPr>
              <w:t>车间员工</w:t>
            </w:r>
          </w:p>
        </w:tc>
        <w:tc>
          <w:tcPr>
            <w:tcW w:w="1265" w:type="dxa"/>
            <w:vAlign w:val="center"/>
          </w:tcPr>
          <w:p w14:paraId="23709131">
            <w:pPr>
              <w:jc w:val="center"/>
              <w:rPr>
                <w:szCs w:val="21"/>
              </w:rPr>
            </w:pPr>
            <w:r>
              <w:rPr>
                <w:rFonts w:hint="eastAsia"/>
                <w:szCs w:val="21"/>
              </w:rPr>
              <w:t>面授</w:t>
            </w:r>
          </w:p>
        </w:tc>
        <w:tc>
          <w:tcPr>
            <w:tcW w:w="1225" w:type="dxa"/>
            <w:vAlign w:val="center"/>
          </w:tcPr>
          <w:p w14:paraId="297C5F3D">
            <w:pPr>
              <w:jc w:val="center"/>
              <w:rPr>
                <w:szCs w:val="21"/>
              </w:rPr>
            </w:pPr>
            <w:r>
              <w:rPr>
                <w:rFonts w:hint="eastAsia"/>
                <w:szCs w:val="21"/>
              </w:rPr>
              <w:t>2H</w:t>
            </w:r>
          </w:p>
        </w:tc>
        <w:tc>
          <w:tcPr>
            <w:tcW w:w="1225" w:type="dxa"/>
            <w:vAlign w:val="center"/>
          </w:tcPr>
          <w:p w14:paraId="527A0C1C">
            <w:pPr>
              <w:jc w:val="center"/>
              <w:rPr>
                <w:szCs w:val="21"/>
              </w:rPr>
            </w:pPr>
            <w:r>
              <w:rPr>
                <w:rFonts w:hint="eastAsia"/>
                <w:szCs w:val="21"/>
                <w:lang w:eastAsia="zh-CN"/>
              </w:rPr>
              <w:t>2025</w:t>
            </w:r>
            <w:r>
              <w:rPr>
                <w:rFonts w:hint="eastAsia"/>
                <w:szCs w:val="21"/>
              </w:rPr>
              <w:t>.03</w:t>
            </w:r>
          </w:p>
        </w:tc>
      </w:tr>
      <w:tr w14:paraId="1CBA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1F837AF2">
            <w:pPr>
              <w:jc w:val="center"/>
              <w:rPr>
                <w:szCs w:val="21"/>
              </w:rPr>
            </w:pPr>
            <w:r>
              <w:rPr>
                <w:rFonts w:hint="eastAsia"/>
                <w:szCs w:val="21"/>
              </w:rPr>
              <w:t>3</w:t>
            </w:r>
          </w:p>
        </w:tc>
        <w:tc>
          <w:tcPr>
            <w:tcW w:w="3020" w:type="dxa"/>
            <w:vAlign w:val="center"/>
          </w:tcPr>
          <w:p w14:paraId="3B72A898">
            <w:pPr>
              <w:jc w:val="center"/>
              <w:rPr>
                <w:szCs w:val="21"/>
              </w:rPr>
            </w:pPr>
            <w:r>
              <w:rPr>
                <w:rFonts w:hint="eastAsia"/>
                <w:szCs w:val="21"/>
              </w:rPr>
              <w:t>产品基础知识培训</w:t>
            </w:r>
          </w:p>
        </w:tc>
        <w:tc>
          <w:tcPr>
            <w:tcW w:w="1681" w:type="dxa"/>
            <w:vAlign w:val="center"/>
          </w:tcPr>
          <w:p w14:paraId="5D6BD683">
            <w:pPr>
              <w:jc w:val="center"/>
              <w:rPr>
                <w:szCs w:val="21"/>
              </w:rPr>
            </w:pPr>
            <w:r>
              <w:rPr>
                <w:rFonts w:hint="eastAsia"/>
                <w:szCs w:val="21"/>
              </w:rPr>
              <w:t>销售员</w:t>
            </w:r>
          </w:p>
        </w:tc>
        <w:tc>
          <w:tcPr>
            <w:tcW w:w="1265" w:type="dxa"/>
            <w:vAlign w:val="center"/>
          </w:tcPr>
          <w:p w14:paraId="26CC45A5">
            <w:pPr>
              <w:jc w:val="center"/>
              <w:rPr>
                <w:szCs w:val="21"/>
              </w:rPr>
            </w:pPr>
            <w:r>
              <w:rPr>
                <w:rFonts w:hint="eastAsia"/>
                <w:szCs w:val="21"/>
              </w:rPr>
              <w:t>面授</w:t>
            </w:r>
          </w:p>
        </w:tc>
        <w:tc>
          <w:tcPr>
            <w:tcW w:w="1225" w:type="dxa"/>
            <w:vAlign w:val="center"/>
          </w:tcPr>
          <w:p w14:paraId="64FEF05C">
            <w:pPr>
              <w:jc w:val="center"/>
              <w:rPr>
                <w:szCs w:val="21"/>
              </w:rPr>
            </w:pPr>
            <w:r>
              <w:rPr>
                <w:rFonts w:hint="eastAsia"/>
                <w:szCs w:val="21"/>
              </w:rPr>
              <w:t>2H</w:t>
            </w:r>
          </w:p>
        </w:tc>
        <w:tc>
          <w:tcPr>
            <w:tcW w:w="1225" w:type="dxa"/>
            <w:vAlign w:val="center"/>
          </w:tcPr>
          <w:p w14:paraId="5EBCA372">
            <w:pPr>
              <w:jc w:val="center"/>
              <w:rPr>
                <w:szCs w:val="21"/>
              </w:rPr>
            </w:pPr>
            <w:r>
              <w:rPr>
                <w:rFonts w:hint="eastAsia"/>
                <w:szCs w:val="21"/>
                <w:lang w:eastAsia="zh-CN"/>
              </w:rPr>
              <w:t>2025</w:t>
            </w:r>
            <w:r>
              <w:rPr>
                <w:rFonts w:hint="eastAsia"/>
                <w:szCs w:val="21"/>
              </w:rPr>
              <w:t>.04</w:t>
            </w:r>
          </w:p>
        </w:tc>
      </w:tr>
      <w:tr w14:paraId="3A98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53E011F4">
            <w:pPr>
              <w:jc w:val="center"/>
              <w:rPr>
                <w:szCs w:val="21"/>
              </w:rPr>
            </w:pPr>
            <w:r>
              <w:rPr>
                <w:rFonts w:hint="eastAsia"/>
                <w:szCs w:val="21"/>
              </w:rPr>
              <w:t>4</w:t>
            </w:r>
          </w:p>
        </w:tc>
        <w:tc>
          <w:tcPr>
            <w:tcW w:w="3020" w:type="dxa"/>
            <w:vAlign w:val="center"/>
          </w:tcPr>
          <w:p w14:paraId="4FC07092">
            <w:pPr>
              <w:jc w:val="center"/>
              <w:rPr>
                <w:szCs w:val="21"/>
              </w:rPr>
            </w:pPr>
            <w:r>
              <w:rPr>
                <w:rFonts w:hint="eastAsia"/>
                <w:szCs w:val="21"/>
              </w:rPr>
              <w:t>知识产权的入职培训</w:t>
            </w:r>
          </w:p>
        </w:tc>
        <w:tc>
          <w:tcPr>
            <w:tcW w:w="1681" w:type="dxa"/>
            <w:vAlign w:val="center"/>
          </w:tcPr>
          <w:p w14:paraId="73CC4025">
            <w:pPr>
              <w:jc w:val="center"/>
              <w:rPr>
                <w:szCs w:val="21"/>
              </w:rPr>
            </w:pPr>
            <w:r>
              <w:rPr>
                <w:rFonts w:hint="eastAsia"/>
                <w:szCs w:val="21"/>
              </w:rPr>
              <w:t>各部门负责人</w:t>
            </w:r>
          </w:p>
        </w:tc>
        <w:tc>
          <w:tcPr>
            <w:tcW w:w="1265" w:type="dxa"/>
            <w:vAlign w:val="center"/>
          </w:tcPr>
          <w:p w14:paraId="10E62CFB">
            <w:pPr>
              <w:jc w:val="center"/>
              <w:rPr>
                <w:szCs w:val="21"/>
              </w:rPr>
            </w:pPr>
            <w:r>
              <w:rPr>
                <w:rFonts w:hint="eastAsia"/>
                <w:szCs w:val="21"/>
              </w:rPr>
              <w:t>面授</w:t>
            </w:r>
          </w:p>
        </w:tc>
        <w:tc>
          <w:tcPr>
            <w:tcW w:w="1225" w:type="dxa"/>
            <w:vAlign w:val="center"/>
          </w:tcPr>
          <w:p w14:paraId="111E923A">
            <w:pPr>
              <w:jc w:val="center"/>
              <w:rPr>
                <w:szCs w:val="21"/>
              </w:rPr>
            </w:pPr>
            <w:r>
              <w:rPr>
                <w:rFonts w:hint="eastAsia"/>
                <w:szCs w:val="21"/>
              </w:rPr>
              <w:t>2H</w:t>
            </w:r>
          </w:p>
        </w:tc>
        <w:tc>
          <w:tcPr>
            <w:tcW w:w="1225" w:type="dxa"/>
            <w:vAlign w:val="center"/>
          </w:tcPr>
          <w:p w14:paraId="202182FD">
            <w:pPr>
              <w:jc w:val="center"/>
              <w:rPr>
                <w:szCs w:val="21"/>
              </w:rPr>
            </w:pPr>
            <w:r>
              <w:rPr>
                <w:rFonts w:hint="eastAsia"/>
                <w:szCs w:val="21"/>
                <w:lang w:eastAsia="zh-CN"/>
              </w:rPr>
              <w:t>2025</w:t>
            </w:r>
            <w:r>
              <w:rPr>
                <w:rFonts w:hint="eastAsia"/>
                <w:szCs w:val="21"/>
              </w:rPr>
              <w:t>.05</w:t>
            </w:r>
          </w:p>
        </w:tc>
      </w:tr>
      <w:tr w14:paraId="0C2D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61" w:type="dxa"/>
            <w:vAlign w:val="center"/>
          </w:tcPr>
          <w:p w14:paraId="0269B923">
            <w:pPr>
              <w:jc w:val="center"/>
              <w:rPr>
                <w:szCs w:val="21"/>
              </w:rPr>
            </w:pPr>
            <w:r>
              <w:rPr>
                <w:rFonts w:hint="eastAsia"/>
                <w:szCs w:val="21"/>
              </w:rPr>
              <w:t>5</w:t>
            </w:r>
          </w:p>
        </w:tc>
        <w:tc>
          <w:tcPr>
            <w:tcW w:w="3020" w:type="dxa"/>
            <w:vAlign w:val="center"/>
          </w:tcPr>
          <w:p w14:paraId="153B0913">
            <w:pPr>
              <w:jc w:val="center"/>
              <w:rPr>
                <w:szCs w:val="21"/>
              </w:rPr>
            </w:pPr>
            <w:r>
              <w:rPr>
                <w:rFonts w:hint="eastAsia"/>
                <w:szCs w:val="21"/>
              </w:rPr>
              <w:t>售后常见问题原因分析</w:t>
            </w:r>
          </w:p>
        </w:tc>
        <w:tc>
          <w:tcPr>
            <w:tcW w:w="1681" w:type="dxa"/>
            <w:vAlign w:val="center"/>
          </w:tcPr>
          <w:p w14:paraId="39358914">
            <w:pPr>
              <w:jc w:val="center"/>
              <w:rPr>
                <w:szCs w:val="21"/>
              </w:rPr>
            </w:pPr>
            <w:r>
              <w:rPr>
                <w:rFonts w:hint="eastAsia"/>
                <w:szCs w:val="21"/>
              </w:rPr>
              <w:t>车间员工</w:t>
            </w:r>
          </w:p>
        </w:tc>
        <w:tc>
          <w:tcPr>
            <w:tcW w:w="1265" w:type="dxa"/>
            <w:vAlign w:val="center"/>
          </w:tcPr>
          <w:p w14:paraId="1E0FED74">
            <w:pPr>
              <w:jc w:val="center"/>
              <w:rPr>
                <w:szCs w:val="21"/>
              </w:rPr>
            </w:pPr>
            <w:r>
              <w:rPr>
                <w:rFonts w:hint="eastAsia"/>
                <w:szCs w:val="21"/>
              </w:rPr>
              <w:t>面授</w:t>
            </w:r>
          </w:p>
        </w:tc>
        <w:tc>
          <w:tcPr>
            <w:tcW w:w="1225" w:type="dxa"/>
            <w:vAlign w:val="center"/>
          </w:tcPr>
          <w:p w14:paraId="20515885">
            <w:pPr>
              <w:jc w:val="center"/>
              <w:rPr>
                <w:szCs w:val="21"/>
              </w:rPr>
            </w:pPr>
            <w:r>
              <w:rPr>
                <w:rFonts w:hint="eastAsia"/>
                <w:szCs w:val="21"/>
              </w:rPr>
              <w:t>2H</w:t>
            </w:r>
          </w:p>
        </w:tc>
        <w:tc>
          <w:tcPr>
            <w:tcW w:w="1225" w:type="dxa"/>
            <w:vAlign w:val="center"/>
          </w:tcPr>
          <w:p w14:paraId="4F09582A">
            <w:pPr>
              <w:jc w:val="center"/>
              <w:rPr>
                <w:szCs w:val="21"/>
              </w:rPr>
            </w:pPr>
            <w:r>
              <w:rPr>
                <w:rFonts w:hint="eastAsia"/>
                <w:szCs w:val="21"/>
                <w:lang w:eastAsia="zh-CN"/>
              </w:rPr>
              <w:t>2025</w:t>
            </w:r>
            <w:r>
              <w:rPr>
                <w:rFonts w:hint="eastAsia"/>
                <w:szCs w:val="21"/>
              </w:rPr>
              <w:t>.05</w:t>
            </w:r>
          </w:p>
        </w:tc>
      </w:tr>
      <w:tr w14:paraId="41E0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2447B830">
            <w:pPr>
              <w:jc w:val="center"/>
              <w:rPr>
                <w:szCs w:val="21"/>
              </w:rPr>
            </w:pPr>
            <w:r>
              <w:rPr>
                <w:rFonts w:hint="eastAsia"/>
                <w:szCs w:val="21"/>
              </w:rPr>
              <w:t>6</w:t>
            </w:r>
          </w:p>
        </w:tc>
        <w:tc>
          <w:tcPr>
            <w:tcW w:w="3020" w:type="dxa"/>
            <w:vAlign w:val="center"/>
          </w:tcPr>
          <w:p w14:paraId="23DC279F">
            <w:pPr>
              <w:jc w:val="center"/>
              <w:rPr>
                <w:szCs w:val="21"/>
              </w:rPr>
            </w:pPr>
            <w:r>
              <w:rPr>
                <w:rFonts w:hint="eastAsia"/>
                <w:szCs w:val="21"/>
              </w:rPr>
              <w:t>知识产权台账管理</w:t>
            </w:r>
          </w:p>
        </w:tc>
        <w:tc>
          <w:tcPr>
            <w:tcW w:w="1681" w:type="dxa"/>
            <w:vAlign w:val="center"/>
          </w:tcPr>
          <w:p w14:paraId="4CDEAB64">
            <w:pPr>
              <w:jc w:val="center"/>
              <w:rPr>
                <w:szCs w:val="21"/>
              </w:rPr>
            </w:pPr>
            <w:r>
              <w:rPr>
                <w:rFonts w:hint="eastAsia"/>
                <w:szCs w:val="21"/>
              </w:rPr>
              <w:t>各部门负责人</w:t>
            </w:r>
          </w:p>
        </w:tc>
        <w:tc>
          <w:tcPr>
            <w:tcW w:w="1265" w:type="dxa"/>
            <w:vAlign w:val="center"/>
          </w:tcPr>
          <w:p w14:paraId="58F8AA4E">
            <w:pPr>
              <w:jc w:val="center"/>
              <w:rPr>
                <w:szCs w:val="21"/>
              </w:rPr>
            </w:pPr>
            <w:r>
              <w:rPr>
                <w:rFonts w:hint="eastAsia"/>
                <w:szCs w:val="21"/>
              </w:rPr>
              <w:t>面授</w:t>
            </w:r>
          </w:p>
        </w:tc>
        <w:tc>
          <w:tcPr>
            <w:tcW w:w="1225" w:type="dxa"/>
            <w:vAlign w:val="center"/>
          </w:tcPr>
          <w:p w14:paraId="40F301FF">
            <w:pPr>
              <w:jc w:val="center"/>
              <w:rPr>
                <w:szCs w:val="21"/>
              </w:rPr>
            </w:pPr>
            <w:r>
              <w:rPr>
                <w:rFonts w:hint="eastAsia"/>
                <w:szCs w:val="21"/>
              </w:rPr>
              <w:t>3H</w:t>
            </w:r>
          </w:p>
        </w:tc>
        <w:tc>
          <w:tcPr>
            <w:tcW w:w="1225" w:type="dxa"/>
            <w:vAlign w:val="center"/>
          </w:tcPr>
          <w:p w14:paraId="17C57E08">
            <w:pPr>
              <w:jc w:val="center"/>
              <w:rPr>
                <w:szCs w:val="21"/>
              </w:rPr>
            </w:pPr>
            <w:r>
              <w:rPr>
                <w:rFonts w:hint="eastAsia"/>
                <w:szCs w:val="21"/>
                <w:lang w:eastAsia="zh-CN"/>
              </w:rPr>
              <w:t>2025</w:t>
            </w:r>
            <w:r>
              <w:rPr>
                <w:rFonts w:hint="eastAsia"/>
                <w:szCs w:val="21"/>
              </w:rPr>
              <w:t>.06</w:t>
            </w:r>
          </w:p>
        </w:tc>
      </w:tr>
      <w:tr w14:paraId="5D54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019AC613">
            <w:pPr>
              <w:jc w:val="center"/>
              <w:rPr>
                <w:szCs w:val="21"/>
              </w:rPr>
            </w:pPr>
            <w:r>
              <w:rPr>
                <w:rFonts w:hint="eastAsia"/>
                <w:szCs w:val="21"/>
              </w:rPr>
              <w:t>7</w:t>
            </w:r>
          </w:p>
        </w:tc>
        <w:tc>
          <w:tcPr>
            <w:tcW w:w="3020" w:type="dxa"/>
            <w:vAlign w:val="center"/>
          </w:tcPr>
          <w:p w14:paraId="2FBDD32F">
            <w:pPr>
              <w:jc w:val="center"/>
              <w:rPr>
                <w:szCs w:val="21"/>
              </w:rPr>
            </w:pPr>
            <w:r>
              <w:rPr>
                <w:rFonts w:hint="eastAsia"/>
                <w:szCs w:val="21"/>
              </w:rPr>
              <w:t>设备的维护保养知识培训</w:t>
            </w:r>
          </w:p>
        </w:tc>
        <w:tc>
          <w:tcPr>
            <w:tcW w:w="1681" w:type="dxa"/>
            <w:vAlign w:val="center"/>
          </w:tcPr>
          <w:p w14:paraId="5DF31AE2">
            <w:pPr>
              <w:jc w:val="center"/>
              <w:rPr>
                <w:szCs w:val="21"/>
              </w:rPr>
            </w:pPr>
            <w:r>
              <w:rPr>
                <w:rFonts w:hint="eastAsia"/>
                <w:szCs w:val="21"/>
              </w:rPr>
              <w:t>车间员工</w:t>
            </w:r>
          </w:p>
        </w:tc>
        <w:tc>
          <w:tcPr>
            <w:tcW w:w="1265" w:type="dxa"/>
            <w:vAlign w:val="center"/>
          </w:tcPr>
          <w:p w14:paraId="1F39DEE2">
            <w:pPr>
              <w:jc w:val="center"/>
              <w:rPr>
                <w:szCs w:val="21"/>
              </w:rPr>
            </w:pPr>
            <w:r>
              <w:rPr>
                <w:rFonts w:hint="eastAsia"/>
                <w:szCs w:val="21"/>
              </w:rPr>
              <w:t>面授</w:t>
            </w:r>
          </w:p>
        </w:tc>
        <w:tc>
          <w:tcPr>
            <w:tcW w:w="1225" w:type="dxa"/>
            <w:vAlign w:val="center"/>
          </w:tcPr>
          <w:p w14:paraId="6C8C35E7">
            <w:pPr>
              <w:jc w:val="center"/>
              <w:rPr>
                <w:szCs w:val="21"/>
              </w:rPr>
            </w:pPr>
            <w:r>
              <w:rPr>
                <w:rFonts w:hint="eastAsia"/>
                <w:szCs w:val="21"/>
              </w:rPr>
              <w:t>2H</w:t>
            </w:r>
          </w:p>
        </w:tc>
        <w:tc>
          <w:tcPr>
            <w:tcW w:w="1225" w:type="dxa"/>
            <w:vAlign w:val="center"/>
          </w:tcPr>
          <w:p w14:paraId="3B76A93F">
            <w:pPr>
              <w:jc w:val="center"/>
              <w:rPr>
                <w:szCs w:val="21"/>
              </w:rPr>
            </w:pPr>
            <w:r>
              <w:rPr>
                <w:rFonts w:hint="eastAsia"/>
                <w:szCs w:val="21"/>
                <w:lang w:eastAsia="zh-CN"/>
              </w:rPr>
              <w:t>2025</w:t>
            </w:r>
            <w:r>
              <w:rPr>
                <w:rFonts w:hint="eastAsia"/>
                <w:szCs w:val="21"/>
              </w:rPr>
              <w:t>.07</w:t>
            </w:r>
          </w:p>
        </w:tc>
      </w:tr>
      <w:tr w14:paraId="7B11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4F5114A0">
            <w:pPr>
              <w:jc w:val="center"/>
              <w:rPr>
                <w:szCs w:val="21"/>
              </w:rPr>
            </w:pPr>
            <w:r>
              <w:rPr>
                <w:rFonts w:hint="eastAsia"/>
                <w:szCs w:val="21"/>
              </w:rPr>
              <w:t>8</w:t>
            </w:r>
          </w:p>
        </w:tc>
        <w:tc>
          <w:tcPr>
            <w:tcW w:w="3020" w:type="dxa"/>
            <w:vAlign w:val="center"/>
          </w:tcPr>
          <w:p w14:paraId="497F949C">
            <w:pPr>
              <w:jc w:val="center"/>
              <w:rPr>
                <w:szCs w:val="21"/>
              </w:rPr>
            </w:pPr>
            <w:r>
              <w:rPr>
                <w:rFonts w:hint="eastAsia"/>
                <w:szCs w:val="21"/>
              </w:rPr>
              <w:t>品质重点问题总结</w:t>
            </w:r>
          </w:p>
        </w:tc>
        <w:tc>
          <w:tcPr>
            <w:tcW w:w="1681" w:type="dxa"/>
            <w:vAlign w:val="center"/>
          </w:tcPr>
          <w:p w14:paraId="0E591B37">
            <w:pPr>
              <w:jc w:val="center"/>
              <w:rPr>
                <w:szCs w:val="21"/>
              </w:rPr>
            </w:pPr>
            <w:r>
              <w:rPr>
                <w:rFonts w:hint="eastAsia"/>
                <w:szCs w:val="21"/>
              </w:rPr>
              <w:t>各部门负责人</w:t>
            </w:r>
          </w:p>
        </w:tc>
        <w:tc>
          <w:tcPr>
            <w:tcW w:w="1265" w:type="dxa"/>
            <w:vAlign w:val="center"/>
          </w:tcPr>
          <w:p w14:paraId="5AACEFB2">
            <w:pPr>
              <w:jc w:val="center"/>
              <w:rPr>
                <w:szCs w:val="21"/>
              </w:rPr>
            </w:pPr>
            <w:r>
              <w:rPr>
                <w:rFonts w:hint="eastAsia"/>
                <w:szCs w:val="21"/>
              </w:rPr>
              <w:t>面授</w:t>
            </w:r>
          </w:p>
        </w:tc>
        <w:tc>
          <w:tcPr>
            <w:tcW w:w="1225" w:type="dxa"/>
            <w:vAlign w:val="center"/>
          </w:tcPr>
          <w:p w14:paraId="01EB3906">
            <w:pPr>
              <w:jc w:val="center"/>
              <w:rPr>
                <w:szCs w:val="21"/>
              </w:rPr>
            </w:pPr>
            <w:r>
              <w:rPr>
                <w:rFonts w:hint="eastAsia"/>
                <w:szCs w:val="21"/>
              </w:rPr>
              <w:t>2H</w:t>
            </w:r>
          </w:p>
        </w:tc>
        <w:tc>
          <w:tcPr>
            <w:tcW w:w="1225" w:type="dxa"/>
            <w:vAlign w:val="center"/>
          </w:tcPr>
          <w:p w14:paraId="0BA5F5D8">
            <w:pPr>
              <w:jc w:val="center"/>
              <w:rPr>
                <w:szCs w:val="21"/>
              </w:rPr>
            </w:pPr>
            <w:r>
              <w:rPr>
                <w:rFonts w:hint="eastAsia"/>
                <w:szCs w:val="21"/>
                <w:lang w:eastAsia="zh-CN"/>
              </w:rPr>
              <w:t>2025</w:t>
            </w:r>
            <w:r>
              <w:rPr>
                <w:rFonts w:hint="eastAsia"/>
                <w:szCs w:val="21"/>
              </w:rPr>
              <w:t>.08</w:t>
            </w:r>
          </w:p>
        </w:tc>
      </w:tr>
      <w:tr w14:paraId="248F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40397738">
            <w:pPr>
              <w:jc w:val="center"/>
              <w:rPr>
                <w:szCs w:val="21"/>
              </w:rPr>
            </w:pPr>
            <w:r>
              <w:rPr>
                <w:rFonts w:hint="eastAsia"/>
                <w:szCs w:val="21"/>
              </w:rPr>
              <w:t>9</w:t>
            </w:r>
          </w:p>
        </w:tc>
        <w:tc>
          <w:tcPr>
            <w:tcW w:w="3020" w:type="dxa"/>
            <w:vAlign w:val="center"/>
          </w:tcPr>
          <w:p w14:paraId="2607C401">
            <w:pPr>
              <w:jc w:val="center"/>
              <w:rPr>
                <w:szCs w:val="21"/>
              </w:rPr>
            </w:pPr>
            <w:r>
              <w:rPr>
                <w:rFonts w:hint="eastAsia"/>
                <w:szCs w:val="21"/>
              </w:rPr>
              <w:t>专利基础知识的培训</w:t>
            </w:r>
          </w:p>
        </w:tc>
        <w:tc>
          <w:tcPr>
            <w:tcW w:w="1681" w:type="dxa"/>
            <w:vAlign w:val="center"/>
          </w:tcPr>
          <w:p w14:paraId="27411725">
            <w:pPr>
              <w:jc w:val="center"/>
              <w:rPr>
                <w:szCs w:val="21"/>
              </w:rPr>
            </w:pPr>
            <w:r>
              <w:rPr>
                <w:rFonts w:hint="eastAsia"/>
                <w:szCs w:val="21"/>
              </w:rPr>
              <w:t>各部门负责人</w:t>
            </w:r>
          </w:p>
        </w:tc>
        <w:tc>
          <w:tcPr>
            <w:tcW w:w="1265" w:type="dxa"/>
            <w:vAlign w:val="center"/>
          </w:tcPr>
          <w:p w14:paraId="44BAE3F1">
            <w:pPr>
              <w:jc w:val="center"/>
              <w:rPr>
                <w:szCs w:val="21"/>
              </w:rPr>
            </w:pPr>
            <w:r>
              <w:rPr>
                <w:rFonts w:hint="eastAsia"/>
                <w:szCs w:val="21"/>
              </w:rPr>
              <w:t>面授</w:t>
            </w:r>
          </w:p>
        </w:tc>
        <w:tc>
          <w:tcPr>
            <w:tcW w:w="1225" w:type="dxa"/>
            <w:vAlign w:val="center"/>
          </w:tcPr>
          <w:p w14:paraId="28466D0F">
            <w:pPr>
              <w:jc w:val="center"/>
              <w:rPr>
                <w:szCs w:val="21"/>
              </w:rPr>
            </w:pPr>
            <w:r>
              <w:rPr>
                <w:rFonts w:hint="eastAsia"/>
                <w:szCs w:val="21"/>
              </w:rPr>
              <w:t>2H</w:t>
            </w:r>
          </w:p>
        </w:tc>
        <w:tc>
          <w:tcPr>
            <w:tcW w:w="1225" w:type="dxa"/>
            <w:vAlign w:val="center"/>
          </w:tcPr>
          <w:p w14:paraId="66ADE3B3">
            <w:pPr>
              <w:jc w:val="center"/>
              <w:rPr>
                <w:szCs w:val="21"/>
              </w:rPr>
            </w:pPr>
            <w:r>
              <w:rPr>
                <w:rFonts w:hint="eastAsia"/>
                <w:szCs w:val="21"/>
                <w:lang w:eastAsia="zh-CN"/>
              </w:rPr>
              <w:t>2025</w:t>
            </w:r>
            <w:r>
              <w:rPr>
                <w:rFonts w:hint="eastAsia"/>
                <w:szCs w:val="21"/>
              </w:rPr>
              <w:t>.09</w:t>
            </w:r>
          </w:p>
        </w:tc>
      </w:tr>
      <w:tr w14:paraId="1E1C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61" w:type="dxa"/>
            <w:vAlign w:val="center"/>
          </w:tcPr>
          <w:p w14:paraId="68F4F6A4">
            <w:pPr>
              <w:jc w:val="center"/>
              <w:rPr>
                <w:szCs w:val="21"/>
              </w:rPr>
            </w:pPr>
            <w:r>
              <w:rPr>
                <w:rFonts w:hint="eastAsia"/>
                <w:szCs w:val="21"/>
              </w:rPr>
              <w:t>10</w:t>
            </w:r>
          </w:p>
        </w:tc>
        <w:tc>
          <w:tcPr>
            <w:tcW w:w="3020" w:type="dxa"/>
            <w:vAlign w:val="center"/>
          </w:tcPr>
          <w:p w14:paraId="7BBAFDCD">
            <w:pPr>
              <w:jc w:val="center"/>
              <w:rPr>
                <w:szCs w:val="21"/>
              </w:rPr>
            </w:pPr>
            <w:r>
              <w:rPr>
                <w:rFonts w:hint="eastAsia"/>
                <w:szCs w:val="21"/>
              </w:rPr>
              <w:t>知识产权相关法律知识培训</w:t>
            </w:r>
          </w:p>
        </w:tc>
        <w:tc>
          <w:tcPr>
            <w:tcW w:w="1681" w:type="dxa"/>
            <w:vAlign w:val="center"/>
          </w:tcPr>
          <w:p w14:paraId="11CD87F5">
            <w:pPr>
              <w:jc w:val="center"/>
              <w:rPr>
                <w:szCs w:val="21"/>
              </w:rPr>
            </w:pPr>
            <w:r>
              <w:rPr>
                <w:rFonts w:hint="eastAsia"/>
                <w:szCs w:val="21"/>
              </w:rPr>
              <w:t>各部门负责人</w:t>
            </w:r>
          </w:p>
        </w:tc>
        <w:tc>
          <w:tcPr>
            <w:tcW w:w="1265" w:type="dxa"/>
            <w:vAlign w:val="center"/>
          </w:tcPr>
          <w:p w14:paraId="11E4D9BD">
            <w:pPr>
              <w:jc w:val="center"/>
              <w:rPr>
                <w:szCs w:val="21"/>
              </w:rPr>
            </w:pPr>
            <w:r>
              <w:rPr>
                <w:rFonts w:hint="eastAsia"/>
                <w:szCs w:val="21"/>
              </w:rPr>
              <w:t>面授</w:t>
            </w:r>
          </w:p>
        </w:tc>
        <w:tc>
          <w:tcPr>
            <w:tcW w:w="1225" w:type="dxa"/>
            <w:vAlign w:val="center"/>
          </w:tcPr>
          <w:p w14:paraId="173774D0">
            <w:pPr>
              <w:jc w:val="center"/>
              <w:rPr>
                <w:szCs w:val="21"/>
              </w:rPr>
            </w:pPr>
            <w:r>
              <w:rPr>
                <w:rFonts w:hint="eastAsia"/>
                <w:szCs w:val="21"/>
              </w:rPr>
              <w:t>4H</w:t>
            </w:r>
          </w:p>
        </w:tc>
        <w:tc>
          <w:tcPr>
            <w:tcW w:w="1225" w:type="dxa"/>
            <w:vAlign w:val="center"/>
          </w:tcPr>
          <w:p w14:paraId="65BD3221">
            <w:pPr>
              <w:jc w:val="center"/>
              <w:rPr>
                <w:szCs w:val="21"/>
              </w:rPr>
            </w:pPr>
            <w:r>
              <w:rPr>
                <w:rFonts w:hint="eastAsia"/>
                <w:szCs w:val="21"/>
                <w:lang w:eastAsia="zh-CN"/>
              </w:rPr>
              <w:t>2025</w:t>
            </w:r>
            <w:r>
              <w:rPr>
                <w:rFonts w:hint="eastAsia"/>
                <w:szCs w:val="21"/>
              </w:rPr>
              <w:t>.10</w:t>
            </w:r>
          </w:p>
        </w:tc>
      </w:tr>
      <w:tr w14:paraId="4779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1ED3675C">
            <w:pPr>
              <w:jc w:val="center"/>
              <w:rPr>
                <w:szCs w:val="21"/>
              </w:rPr>
            </w:pPr>
            <w:r>
              <w:rPr>
                <w:rFonts w:hint="eastAsia"/>
                <w:szCs w:val="21"/>
              </w:rPr>
              <w:t>11</w:t>
            </w:r>
          </w:p>
        </w:tc>
        <w:tc>
          <w:tcPr>
            <w:tcW w:w="3020" w:type="dxa"/>
            <w:vAlign w:val="center"/>
          </w:tcPr>
          <w:p w14:paraId="3A460746">
            <w:pPr>
              <w:jc w:val="center"/>
              <w:rPr>
                <w:szCs w:val="21"/>
              </w:rPr>
            </w:pPr>
            <w:r>
              <w:rPr>
                <w:rFonts w:hint="eastAsia"/>
                <w:szCs w:val="21"/>
              </w:rPr>
              <w:t>浙江制造标准培训</w:t>
            </w:r>
          </w:p>
        </w:tc>
        <w:tc>
          <w:tcPr>
            <w:tcW w:w="1681" w:type="dxa"/>
            <w:vAlign w:val="center"/>
          </w:tcPr>
          <w:p w14:paraId="45D65522">
            <w:pPr>
              <w:jc w:val="center"/>
              <w:rPr>
                <w:szCs w:val="21"/>
              </w:rPr>
            </w:pPr>
            <w:r>
              <w:rPr>
                <w:rFonts w:hint="eastAsia"/>
                <w:szCs w:val="21"/>
              </w:rPr>
              <w:t>各部门负责人</w:t>
            </w:r>
          </w:p>
        </w:tc>
        <w:tc>
          <w:tcPr>
            <w:tcW w:w="1265" w:type="dxa"/>
            <w:vAlign w:val="center"/>
          </w:tcPr>
          <w:p w14:paraId="7C299BDF">
            <w:pPr>
              <w:jc w:val="center"/>
              <w:rPr>
                <w:szCs w:val="21"/>
              </w:rPr>
            </w:pPr>
            <w:r>
              <w:rPr>
                <w:rFonts w:hint="eastAsia"/>
                <w:szCs w:val="21"/>
              </w:rPr>
              <w:t>面授</w:t>
            </w:r>
          </w:p>
        </w:tc>
        <w:tc>
          <w:tcPr>
            <w:tcW w:w="1225" w:type="dxa"/>
            <w:vAlign w:val="center"/>
          </w:tcPr>
          <w:p w14:paraId="1299D624">
            <w:pPr>
              <w:jc w:val="center"/>
              <w:rPr>
                <w:szCs w:val="21"/>
              </w:rPr>
            </w:pPr>
            <w:r>
              <w:rPr>
                <w:rFonts w:hint="eastAsia"/>
                <w:szCs w:val="21"/>
              </w:rPr>
              <w:t>3H</w:t>
            </w:r>
          </w:p>
        </w:tc>
        <w:tc>
          <w:tcPr>
            <w:tcW w:w="1225" w:type="dxa"/>
            <w:vAlign w:val="center"/>
          </w:tcPr>
          <w:p w14:paraId="578872BC">
            <w:pPr>
              <w:jc w:val="center"/>
              <w:rPr>
                <w:szCs w:val="21"/>
              </w:rPr>
            </w:pPr>
            <w:r>
              <w:rPr>
                <w:rFonts w:hint="eastAsia"/>
                <w:szCs w:val="21"/>
                <w:lang w:eastAsia="zh-CN"/>
              </w:rPr>
              <w:t>2025</w:t>
            </w:r>
            <w:r>
              <w:rPr>
                <w:rFonts w:hint="eastAsia"/>
                <w:szCs w:val="21"/>
              </w:rPr>
              <w:t>.11</w:t>
            </w:r>
          </w:p>
        </w:tc>
      </w:tr>
      <w:tr w14:paraId="21AF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61" w:type="dxa"/>
            <w:vAlign w:val="center"/>
          </w:tcPr>
          <w:p w14:paraId="36DBB916">
            <w:pPr>
              <w:jc w:val="center"/>
              <w:rPr>
                <w:szCs w:val="21"/>
              </w:rPr>
            </w:pPr>
            <w:r>
              <w:rPr>
                <w:rFonts w:hint="eastAsia"/>
                <w:szCs w:val="21"/>
              </w:rPr>
              <w:t>12</w:t>
            </w:r>
          </w:p>
        </w:tc>
        <w:tc>
          <w:tcPr>
            <w:tcW w:w="3020" w:type="dxa"/>
            <w:vAlign w:val="center"/>
          </w:tcPr>
          <w:p w14:paraId="294FC653">
            <w:pPr>
              <w:jc w:val="center"/>
              <w:rPr>
                <w:szCs w:val="21"/>
              </w:rPr>
            </w:pPr>
            <w:r>
              <w:rPr>
                <w:rFonts w:hint="eastAsia"/>
                <w:szCs w:val="21"/>
              </w:rPr>
              <w:t>ISO45001职业健康安全管理体系标准培训</w:t>
            </w:r>
          </w:p>
        </w:tc>
        <w:tc>
          <w:tcPr>
            <w:tcW w:w="1681" w:type="dxa"/>
            <w:vAlign w:val="center"/>
          </w:tcPr>
          <w:p w14:paraId="4EE99467">
            <w:pPr>
              <w:jc w:val="center"/>
              <w:rPr>
                <w:szCs w:val="21"/>
              </w:rPr>
            </w:pPr>
            <w:r>
              <w:rPr>
                <w:rFonts w:hint="eastAsia"/>
                <w:szCs w:val="21"/>
              </w:rPr>
              <w:t>各部门负责人</w:t>
            </w:r>
          </w:p>
        </w:tc>
        <w:tc>
          <w:tcPr>
            <w:tcW w:w="1265" w:type="dxa"/>
            <w:vAlign w:val="center"/>
          </w:tcPr>
          <w:p w14:paraId="4259F98A">
            <w:pPr>
              <w:jc w:val="center"/>
              <w:rPr>
                <w:szCs w:val="21"/>
              </w:rPr>
            </w:pPr>
            <w:r>
              <w:rPr>
                <w:rFonts w:hint="eastAsia"/>
                <w:szCs w:val="21"/>
              </w:rPr>
              <w:t>面授</w:t>
            </w:r>
          </w:p>
        </w:tc>
        <w:tc>
          <w:tcPr>
            <w:tcW w:w="1225" w:type="dxa"/>
            <w:vAlign w:val="center"/>
          </w:tcPr>
          <w:p w14:paraId="648BB072">
            <w:pPr>
              <w:jc w:val="center"/>
              <w:rPr>
                <w:szCs w:val="21"/>
              </w:rPr>
            </w:pPr>
            <w:r>
              <w:rPr>
                <w:rFonts w:hint="eastAsia"/>
                <w:szCs w:val="21"/>
              </w:rPr>
              <w:t>3H</w:t>
            </w:r>
          </w:p>
        </w:tc>
        <w:tc>
          <w:tcPr>
            <w:tcW w:w="1225" w:type="dxa"/>
            <w:vAlign w:val="center"/>
          </w:tcPr>
          <w:p w14:paraId="76EF05BE">
            <w:pPr>
              <w:jc w:val="center"/>
              <w:rPr>
                <w:szCs w:val="21"/>
              </w:rPr>
            </w:pPr>
            <w:r>
              <w:rPr>
                <w:rFonts w:hint="eastAsia"/>
                <w:szCs w:val="21"/>
                <w:lang w:eastAsia="zh-CN"/>
              </w:rPr>
              <w:t>2025</w:t>
            </w:r>
            <w:r>
              <w:rPr>
                <w:rFonts w:hint="eastAsia"/>
                <w:szCs w:val="21"/>
              </w:rPr>
              <w:t>.12</w:t>
            </w:r>
          </w:p>
        </w:tc>
      </w:tr>
    </w:tbl>
    <w:p w14:paraId="2C3F3BCA">
      <w:pPr>
        <w:pStyle w:val="387"/>
        <w:spacing w:line="312" w:lineRule="auto"/>
        <w:ind w:firstLine="0" w:firstLineChars="0"/>
        <w:jc w:val="left"/>
        <w:rPr>
          <w:rFonts w:asciiTheme="minorEastAsia" w:hAnsiTheme="minorEastAsia" w:eastAsiaTheme="minorEastAsia"/>
          <w:b/>
          <w:bCs/>
          <w:sz w:val="21"/>
        </w:rPr>
      </w:pPr>
    </w:p>
    <w:p w14:paraId="46231FAA">
      <w:pPr>
        <w:pStyle w:val="392"/>
        <w:shd w:val="clear" w:color="auto" w:fill="FFFFFF"/>
        <w:adjustRightInd/>
        <w:spacing w:line="312" w:lineRule="auto"/>
        <w:ind w:right="103" w:rightChars="49" w:firstLine="420" w:firstLineChars="200"/>
        <w:jc w:val="both"/>
        <w:rPr>
          <w:rFonts w:hAnsi="宋体" w:cs="Arial"/>
          <w:sz w:val="21"/>
          <w:szCs w:val="21"/>
        </w:rPr>
      </w:pPr>
      <w:r>
        <w:rPr>
          <w:rFonts w:hint="eastAsia" w:hAnsi="宋体" w:cs="Arial"/>
          <w:sz w:val="21"/>
          <w:szCs w:val="21"/>
        </w:rPr>
        <w:t>公司由各部门负责人和技术骨干组成内部培训力量，</w:t>
      </w:r>
      <w:r>
        <w:rPr>
          <w:rFonts w:hint="eastAsia" w:hAnsi="宋体"/>
          <w:color w:val="auto"/>
          <w:sz w:val="21"/>
          <w:szCs w:val="21"/>
        </w:rPr>
        <w:t>开展阶梯式业务培训指导</w:t>
      </w:r>
      <w:r>
        <w:rPr>
          <w:rFonts w:hAnsi="宋体" w:cs="Arial"/>
          <w:sz w:val="21"/>
          <w:szCs w:val="21"/>
        </w:rPr>
        <w:t>；采用课堂授课、案例分析、行动学习</w:t>
      </w:r>
      <w:r>
        <w:rPr>
          <w:rFonts w:hint="eastAsia" w:hAnsi="宋体" w:cs="Arial"/>
          <w:sz w:val="21"/>
          <w:szCs w:val="21"/>
        </w:rPr>
        <w:t>等</w:t>
      </w:r>
      <w:r>
        <w:rPr>
          <w:rFonts w:hAnsi="宋体" w:cs="Arial"/>
          <w:sz w:val="21"/>
          <w:szCs w:val="21"/>
        </w:rPr>
        <w:t>多种方式提高培训效果；</w:t>
      </w:r>
      <w:r>
        <w:rPr>
          <w:rFonts w:hint="eastAsia" w:hAnsi="宋体" w:cs="Arial"/>
          <w:sz w:val="21"/>
          <w:szCs w:val="21"/>
        </w:rPr>
        <w:t>员工从入职，上岗的各个阶段均有针对性的接受公司的培训：新员工培训，三级安全教育培训，设备专业操作培训，专业技能培训，5S培训，客户关系培训等；针对中高层管理人员，</w:t>
      </w:r>
      <w:r>
        <w:rPr>
          <w:rFonts w:hAnsi="宋体" w:cs="Arial"/>
          <w:sz w:val="21"/>
          <w:szCs w:val="21"/>
        </w:rPr>
        <w:t>通过参加</w:t>
      </w:r>
      <w:r>
        <w:rPr>
          <w:rFonts w:hint="eastAsia" w:hAnsi="宋体" w:cs="Arial"/>
          <w:sz w:val="21"/>
          <w:szCs w:val="21"/>
        </w:rPr>
        <w:t>行业协</w:t>
      </w:r>
      <w:r>
        <w:rPr>
          <w:rFonts w:hAnsi="宋体" w:cs="Arial"/>
          <w:sz w:val="21"/>
          <w:szCs w:val="21"/>
        </w:rPr>
        <w:t>会</w:t>
      </w:r>
      <w:r>
        <w:rPr>
          <w:rFonts w:hint="eastAsia" w:hAnsi="宋体" w:cs="Arial"/>
          <w:sz w:val="21"/>
          <w:szCs w:val="21"/>
        </w:rPr>
        <w:t>会议、展会，</w:t>
      </w:r>
      <w:r>
        <w:rPr>
          <w:rFonts w:hAnsi="宋体" w:cs="Arial"/>
          <w:sz w:val="21"/>
          <w:szCs w:val="21"/>
        </w:rPr>
        <w:t>到国内外成功企业参观学习</w:t>
      </w:r>
      <w:r>
        <w:rPr>
          <w:rFonts w:hint="eastAsia" w:hAnsi="宋体" w:cs="Arial"/>
          <w:sz w:val="21"/>
          <w:szCs w:val="21"/>
        </w:rPr>
        <w:t>等形式，</w:t>
      </w:r>
      <w:r>
        <w:rPr>
          <w:rFonts w:hAnsi="宋体" w:cs="Arial"/>
          <w:sz w:val="21"/>
          <w:szCs w:val="21"/>
        </w:rPr>
        <w:t>提升经营理念，提高科学决策能力和经营管理能力</w:t>
      </w:r>
      <w:r>
        <w:rPr>
          <w:rFonts w:hint="eastAsia" w:hAnsi="宋体" w:cs="Arial"/>
          <w:sz w:val="21"/>
          <w:szCs w:val="21"/>
        </w:rPr>
        <w:t>；针对基层员工，公司组织业务与技能相关的内部培训，以“传、帮、带”的形式，提升技能薄弱员工的业务能力。</w:t>
      </w:r>
    </w:p>
    <w:p w14:paraId="52DEB3B5">
      <w:pPr>
        <w:pStyle w:val="387"/>
        <w:spacing w:line="312" w:lineRule="auto"/>
        <w:ind w:firstLine="0" w:firstLineChars="0"/>
        <w:jc w:val="center"/>
        <w:rPr>
          <w:rFonts w:asciiTheme="majorEastAsia" w:hAnsiTheme="majorEastAsia" w:eastAsiaTheme="majorEastAsia" w:cstheme="majorEastAsia"/>
          <w:b/>
          <w:sz w:val="21"/>
        </w:rPr>
      </w:pPr>
      <w:r>
        <w:rPr>
          <w:rFonts w:hint="eastAsia" w:ascii="宋体" w:eastAsia="宋体" w:cs="宋体"/>
          <w:b/>
          <w:color w:val="000000"/>
          <w:sz w:val="21"/>
        </w:rPr>
        <w:t>图表10</w:t>
      </w:r>
      <w:r>
        <w:rPr>
          <w:rFonts w:hint="eastAsia" w:ascii="宋体" w:eastAsia="宋体" w:cs="宋体"/>
          <w:b/>
          <w:sz w:val="21"/>
        </w:rPr>
        <w:t xml:space="preserve"> </w:t>
      </w:r>
      <w:r>
        <w:rPr>
          <w:rFonts w:hint="eastAsia" w:asciiTheme="majorEastAsia" w:hAnsiTheme="majorEastAsia" w:eastAsiaTheme="majorEastAsia" w:cstheme="majorEastAsia"/>
          <w:b/>
          <w:sz w:val="21"/>
        </w:rPr>
        <w:t>员工培训照片</w:t>
      </w:r>
    </w:p>
    <w:p w14:paraId="4DFAACE5">
      <w:pPr>
        <w:pStyle w:val="387"/>
        <w:spacing w:line="312" w:lineRule="auto"/>
        <w:ind w:firstLine="0" w:firstLineChars="0"/>
        <w:jc w:val="center"/>
        <w:rPr>
          <w:rFonts w:asciiTheme="majorEastAsia" w:hAnsiTheme="majorEastAsia" w:eastAsiaTheme="majorEastAsia" w:cstheme="majorEastAsia"/>
          <w:b/>
          <w:sz w:val="21"/>
        </w:rPr>
      </w:pPr>
      <w:r>
        <w:rPr>
          <w:b/>
          <w:sz w:val="24"/>
        </w:rPr>
        <w:drawing>
          <wp:inline distT="0" distB="0" distL="0" distR="0">
            <wp:extent cx="3716655" cy="2676525"/>
            <wp:effectExtent l="0" t="0" r="4445" b="3175"/>
            <wp:docPr id="2714" name="图片 11" descr="C:\Users\ADMINI~1\AppData\Local\Temp\WeChat Files\1f018f558b34bb8ac3400d2af05f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 name="图片 11" descr="C:\Users\ADMINI~1\AppData\Local\Temp\WeChat Files\1f018f558b34bb8ac3400d2af05f275.jpg"/>
                    <pic:cNvPicPr>
                      <a:picLocks noChangeAspect="1" noChangeArrowheads="1"/>
                    </pic:cNvPicPr>
                  </pic:nvPicPr>
                  <pic:blipFill>
                    <a:blip r:embed="rId15" cstate="print"/>
                    <a:srcRect t="3969"/>
                    <a:stretch>
                      <a:fillRect/>
                    </a:stretch>
                  </pic:blipFill>
                  <pic:spPr>
                    <a:xfrm>
                      <a:off x="0" y="0"/>
                      <a:ext cx="3716655" cy="2676525"/>
                    </a:xfrm>
                    <a:prstGeom prst="rect">
                      <a:avLst/>
                    </a:prstGeom>
                    <a:noFill/>
                    <a:ln w="9525">
                      <a:noFill/>
                      <a:miter lim="800000"/>
                      <a:headEnd/>
                      <a:tailEnd/>
                    </a:ln>
                  </pic:spPr>
                </pic:pic>
              </a:graphicData>
            </a:graphic>
          </wp:inline>
        </w:drawing>
      </w:r>
    </w:p>
    <w:p w14:paraId="4041D31D">
      <w:pPr>
        <w:pStyle w:val="82"/>
        <w:shd w:val="clear" w:color="auto" w:fill="FFFFFF"/>
        <w:spacing w:before="0" w:beforeAutospacing="0" w:after="0" w:afterAutospacing="0" w:line="312" w:lineRule="auto"/>
        <w:ind w:firstLine="420" w:firstLineChars="200"/>
        <w:jc w:val="both"/>
        <w:textAlignment w:val="baseline"/>
        <w:rPr>
          <w:rFonts w:cs="Arial"/>
          <w:sz w:val="21"/>
          <w:szCs w:val="21"/>
        </w:rPr>
      </w:pPr>
      <w:r>
        <w:rPr>
          <w:rFonts w:hint="eastAsia" w:cs="Arial"/>
          <w:sz w:val="21"/>
          <w:szCs w:val="21"/>
        </w:rPr>
        <w:t>在培训开展的同时，</w:t>
      </w:r>
      <w:r>
        <w:rPr>
          <w:rFonts w:cs="Arial"/>
          <w:sz w:val="21"/>
          <w:szCs w:val="21"/>
        </w:rPr>
        <w:t>公司运用多种评估方式对培训效果进行评价，了解受训人员对课程内容、教学方法、培训收获程度以及培训知识和技能的运用情况等方面的评价和建议，为不断改进培训过程和有效性提供了充分的依据。</w:t>
      </w:r>
    </w:p>
    <w:p w14:paraId="3ADB1B8C">
      <w:pPr>
        <w:shd w:val="clear" w:color="auto" w:fill="FFFFFF"/>
        <w:adjustRightInd w:val="0"/>
        <w:spacing w:before="156" w:beforeLines="50" w:line="360" w:lineRule="auto"/>
        <w:ind w:right="325" w:rightChars="155"/>
        <w:jc w:val="center"/>
        <w:rPr>
          <w:rFonts w:ascii="宋体" w:hAnsi="宋体" w:cs="Arial"/>
          <w:b/>
          <w:szCs w:val="21"/>
        </w:rPr>
      </w:pPr>
      <w:r>
        <w:rPr>
          <w:rFonts w:hint="eastAsia" w:ascii="宋体" w:hAnsi="宋体" w:cs="Arial"/>
          <w:b/>
          <w:szCs w:val="21"/>
        </w:rPr>
        <w:t xml:space="preserve">图表11 </w:t>
      </w:r>
      <w:r>
        <w:rPr>
          <w:rFonts w:ascii="宋体" w:hAnsi="宋体" w:cs="Arial"/>
          <w:b/>
          <w:szCs w:val="21"/>
        </w:rPr>
        <w:t>培训效果评估方式</w:t>
      </w:r>
    </w:p>
    <w:tbl>
      <w:tblPr>
        <w:tblStyle w:val="88"/>
        <w:tblW w:w="867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05"/>
        <w:gridCol w:w="4111"/>
        <w:gridCol w:w="3061"/>
      </w:tblGrid>
      <w:tr w14:paraId="1E26B2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05" w:type="dxa"/>
            <w:shd w:val="clear" w:color="auto" w:fill="DCE6F2" w:themeFill="accent1" w:themeFillTint="32"/>
            <w:vAlign w:val="center"/>
          </w:tcPr>
          <w:p w14:paraId="3E38A97C">
            <w:pPr>
              <w:widowControl/>
              <w:snapToGrid w:val="0"/>
              <w:ind w:right="325" w:rightChars="155"/>
              <w:jc w:val="center"/>
              <w:rPr>
                <w:rFonts w:ascii="宋体" w:hAnsi="宋体" w:cs="Arial"/>
                <w:b/>
                <w:szCs w:val="21"/>
              </w:rPr>
            </w:pPr>
            <w:r>
              <w:rPr>
                <w:rFonts w:hint="eastAsia" w:ascii="宋体" w:hAnsi="宋体" w:cs="Arial"/>
                <w:b/>
                <w:szCs w:val="21"/>
              </w:rPr>
              <w:t>评估层次</w:t>
            </w:r>
          </w:p>
        </w:tc>
        <w:tc>
          <w:tcPr>
            <w:tcW w:w="4111" w:type="dxa"/>
            <w:shd w:val="clear" w:color="auto" w:fill="DCE6F2" w:themeFill="accent1" w:themeFillTint="32"/>
            <w:vAlign w:val="center"/>
          </w:tcPr>
          <w:p w14:paraId="7E60951B">
            <w:pPr>
              <w:widowControl/>
              <w:snapToGrid w:val="0"/>
              <w:ind w:right="325" w:rightChars="155"/>
              <w:jc w:val="center"/>
              <w:rPr>
                <w:rFonts w:ascii="宋体" w:hAnsi="宋体" w:cs="Arial"/>
                <w:b/>
                <w:szCs w:val="21"/>
              </w:rPr>
            </w:pPr>
            <w:r>
              <w:rPr>
                <w:rFonts w:hint="eastAsia" w:ascii="宋体" w:hAnsi="宋体" w:cs="Arial"/>
                <w:b/>
                <w:szCs w:val="21"/>
              </w:rPr>
              <w:t>评估方式</w:t>
            </w:r>
          </w:p>
        </w:tc>
        <w:tc>
          <w:tcPr>
            <w:tcW w:w="3061" w:type="dxa"/>
            <w:shd w:val="clear" w:color="auto" w:fill="DCE6F2" w:themeFill="accent1" w:themeFillTint="32"/>
            <w:vAlign w:val="center"/>
          </w:tcPr>
          <w:p w14:paraId="5E644695">
            <w:pPr>
              <w:widowControl/>
              <w:snapToGrid w:val="0"/>
              <w:ind w:right="325" w:rightChars="155"/>
              <w:jc w:val="center"/>
              <w:rPr>
                <w:rFonts w:ascii="宋体" w:hAnsi="宋体" w:cs="Arial"/>
                <w:b/>
                <w:szCs w:val="21"/>
              </w:rPr>
            </w:pPr>
            <w:r>
              <w:rPr>
                <w:rFonts w:hint="eastAsia" w:ascii="宋体" w:hAnsi="宋体" w:cs="Arial"/>
                <w:b/>
                <w:szCs w:val="21"/>
              </w:rPr>
              <w:t>评估重点</w:t>
            </w:r>
          </w:p>
        </w:tc>
      </w:tr>
      <w:tr w14:paraId="6ED457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05" w:type="dxa"/>
            <w:vAlign w:val="center"/>
          </w:tcPr>
          <w:p w14:paraId="5C1DBD2F">
            <w:pPr>
              <w:widowControl/>
              <w:adjustRightInd w:val="0"/>
              <w:snapToGrid w:val="0"/>
              <w:ind w:right="325" w:rightChars="155"/>
              <w:jc w:val="center"/>
              <w:rPr>
                <w:rFonts w:ascii="宋体" w:hAnsi="宋体" w:cs="Arial"/>
                <w:szCs w:val="21"/>
              </w:rPr>
            </w:pPr>
            <w:r>
              <w:rPr>
                <w:rFonts w:hint="eastAsia" w:ascii="宋体" w:hAnsi="宋体" w:cs="Arial"/>
                <w:szCs w:val="21"/>
              </w:rPr>
              <w:t>反应层</w:t>
            </w:r>
          </w:p>
        </w:tc>
        <w:tc>
          <w:tcPr>
            <w:tcW w:w="4111" w:type="dxa"/>
            <w:vAlign w:val="center"/>
          </w:tcPr>
          <w:p w14:paraId="0BFC3374">
            <w:pPr>
              <w:widowControl/>
              <w:adjustRightInd w:val="0"/>
              <w:snapToGrid w:val="0"/>
              <w:ind w:right="325" w:rightChars="155"/>
              <w:jc w:val="center"/>
              <w:rPr>
                <w:rFonts w:ascii="宋体" w:hAnsi="宋体" w:cs="Arial"/>
                <w:szCs w:val="21"/>
              </w:rPr>
            </w:pPr>
            <w:r>
              <w:rPr>
                <w:rFonts w:hint="eastAsia" w:ascii="宋体" w:hAnsi="宋体" w:cs="Arial"/>
                <w:szCs w:val="21"/>
              </w:rPr>
              <w:t>问卷调查</w:t>
            </w:r>
          </w:p>
        </w:tc>
        <w:tc>
          <w:tcPr>
            <w:tcW w:w="3061" w:type="dxa"/>
            <w:vAlign w:val="center"/>
          </w:tcPr>
          <w:p w14:paraId="18D0CD6E">
            <w:pPr>
              <w:widowControl/>
              <w:adjustRightInd w:val="0"/>
              <w:snapToGrid w:val="0"/>
              <w:ind w:right="105" w:rightChars="50"/>
              <w:jc w:val="center"/>
              <w:rPr>
                <w:rFonts w:ascii="宋体" w:hAnsi="宋体" w:cs="Arial"/>
                <w:szCs w:val="21"/>
              </w:rPr>
            </w:pPr>
            <w:r>
              <w:rPr>
                <w:rFonts w:hint="eastAsia" w:ascii="宋体" w:hAnsi="宋体" w:cs="Arial"/>
                <w:szCs w:val="21"/>
              </w:rPr>
              <w:t>评估学员对培训的满意程度</w:t>
            </w:r>
          </w:p>
        </w:tc>
      </w:tr>
      <w:tr w14:paraId="01511E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05" w:type="dxa"/>
            <w:vAlign w:val="center"/>
          </w:tcPr>
          <w:p w14:paraId="341A389A">
            <w:pPr>
              <w:widowControl/>
              <w:adjustRightInd w:val="0"/>
              <w:snapToGrid w:val="0"/>
              <w:ind w:right="325" w:rightChars="155"/>
              <w:jc w:val="center"/>
              <w:rPr>
                <w:rFonts w:ascii="宋体" w:hAnsi="宋体" w:cs="Arial"/>
                <w:szCs w:val="21"/>
              </w:rPr>
            </w:pPr>
            <w:r>
              <w:rPr>
                <w:rFonts w:hint="eastAsia" w:ascii="宋体" w:hAnsi="宋体" w:cs="Arial"/>
                <w:szCs w:val="21"/>
              </w:rPr>
              <w:t>学习层</w:t>
            </w:r>
          </w:p>
        </w:tc>
        <w:tc>
          <w:tcPr>
            <w:tcW w:w="4111" w:type="dxa"/>
            <w:vAlign w:val="center"/>
          </w:tcPr>
          <w:p w14:paraId="78E0E397">
            <w:pPr>
              <w:widowControl/>
              <w:adjustRightInd w:val="0"/>
              <w:snapToGrid w:val="0"/>
              <w:ind w:right="325" w:rightChars="155"/>
              <w:jc w:val="center"/>
              <w:rPr>
                <w:rFonts w:ascii="宋体" w:hAnsi="宋体" w:cs="Arial"/>
                <w:szCs w:val="21"/>
              </w:rPr>
            </w:pPr>
            <w:r>
              <w:rPr>
                <w:rFonts w:hint="eastAsia" w:ascii="宋体" w:hAnsi="宋体" w:cs="Arial"/>
                <w:szCs w:val="21"/>
              </w:rPr>
              <w:t>口试、书面考试、技能测试、培训总结</w:t>
            </w:r>
          </w:p>
        </w:tc>
        <w:tc>
          <w:tcPr>
            <w:tcW w:w="3061" w:type="dxa"/>
            <w:vAlign w:val="center"/>
          </w:tcPr>
          <w:p w14:paraId="330A56F2">
            <w:pPr>
              <w:widowControl/>
              <w:adjustRightInd w:val="0"/>
              <w:snapToGrid w:val="0"/>
              <w:ind w:right="105" w:rightChars="50"/>
              <w:jc w:val="center"/>
              <w:rPr>
                <w:rFonts w:ascii="宋体" w:hAnsi="宋体" w:cs="Arial"/>
                <w:szCs w:val="21"/>
              </w:rPr>
            </w:pPr>
            <w:r>
              <w:rPr>
                <w:rFonts w:hint="eastAsia" w:ascii="宋体" w:hAnsi="宋体" w:cs="Arial"/>
                <w:szCs w:val="21"/>
              </w:rPr>
              <w:t>学员对培训的学习收获</w:t>
            </w:r>
          </w:p>
        </w:tc>
      </w:tr>
      <w:tr w14:paraId="440E7D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05" w:type="dxa"/>
            <w:vAlign w:val="center"/>
          </w:tcPr>
          <w:p w14:paraId="604AF7AE">
            <w:pPr>
              <w:widowControl/>
              <w:adjustRightInd w:val="0"/>
              <w:snapToGrid w:val="0"/>
              <w:ind w:right="325" w:rightChars="155"/>
              <w:jc w:val="center"/>
              <w:rPr>
                <w:rFonts w:ascii="宋体" w:hAnsi="宋体" w:cs="Arial"/>
                <w:szCs w:val="21"/>
              </w:rPr>
            </w:pPr>
            <w:r>
              <w:rPr>
                <w:rFonts w:hint="eastAsia" w:ascii="宋体" w:hAnsi="宋体" w:cs="Arial"/>
                <w:szCs w:val="21"/>
              </w:rPr>
              <w:t>行为层</w:t>
            </w:r>
          </w:p>
        </w:tc>
        <w:tc>
          <w:tcPr>
            <w:tcW w:w="4111" w:type="dxa"/>
            <w:vAlign w:val="center"/>
          </w:tcPr>
          <w:p w14:paraId="0F648634">
            <w:pPr>
              <w:widowControl/>
              <w:adjustRightInd w:val="0"/>
              <w:snapToGrid w:val="0"/>
              <w:ind w:right="325" w:rightChars="155"/>
              <w:jc w:val="center"/>
              <w:rPr>
                <w:rFonts w:ascii="宋体" w:hAnsi="宋体" w:cs="Arial"/>
                <w:szCs w:val="21"/>
              </w:rPr>
            </w:pPr>
            <w:r>
              <w:rPr>
                <w:rFonts w:hint="eastAsia" w:ascii="宋体" w:hAnsi="宋体" w:cs="Arial"/>
                <w:szCs w:val="21"/>
              </w:rPr>
              <w:t>360度评估</w:t>
            </w:r>
          </w:p>
        </w:tc>
        <w:tc>
          <w:tcPr>
            <w:tcW w:w="3061" w:type="dxa"/>
            <w:vAlign w:val="center"/>
          </w:tcPr>
          <w:p w14:paraId="18CFB5C7">
            <w:pPr>
              <w:widowControl/>
              <w:adjustRightInd w:val="0"/>
              <w:snapToGrid w:val="0"/>
              <w:ind w:right="105" w:rightChars="50"/>
              <w:jc w:val="center"/>
              <w:rPr>
                <w:rFonts w:ascii="宋体" w:hAnsi="宋体" w:cs="Arial"/>
                <w:szCs w:val="21"/>
              </w:rPr>
            </w:pPr>
            <w:r>
              <w:rPr>
                <w:rFonts w:hint="eastAsia" w:ascii="宋体" w:hAnsi="宋体" w:cs="Arial"/>
                <w:szCs w:val="21"/>
              </w:rPr>
              <w:t>评估学员对培训的应用程度</w:t>
            </w:r>
          </w:p>
        </w:tc>
      </w:tr>
      <w:tr w14:paraId="483974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05" w:type="dxa"/>
            <w:vAlign w:val="center"/>
          </w:tcPr>
          <w:p w14:paraId="0452FFEF">
            <w:pPr>
              <w:widowControl/>
              <w:adjustRightInd w:val="0"/>
              <w:snapToGrid w:val="0"/>
              <w:ind w:right="325" w:rightChars="155"/>
              <w:jc w:val="center"/>
              <w:rPr>
                <w:rFonts w:ascii="宋体" w:hAnsi="宋体" w:cs="Arial"/>
                <w:szCs w:val="21"/>
              </w:rPr>
            </w:pPr>
            <w:r>
              <w:rPr>
                <w:rFonts w:hint="eastAsia" w:ascii="宋体" w:hAnsi="宋体" w:cs="Arial"/>
                <w:szCs w:val="21"/>
              </w:rPr>
              <w:t>结果层</w:t>
            </w:r>
          </w:p>
        </w:tc>
        <w:tc>
          <w:tcPr>
            <w:tcW w:w="4111" w:type="dxa"/>
            <w:vAlign w:val="center"/>
          </w:tcPr>
          <w:p w14:paraId="59B2EB02">
            <w:pPr>
              <w:widowControl/>
              <w:adjustRightInd w:val="0"/>
              <w:snapToGrid w:val="0"/>
              <w:ind w:right="325" w:rightChars="155"/>
              <w:jc w:val="center"/>
              <w:rPr>
                <w:rFonts w:ascii="宋体" w:hAnsi="宋体" w:cs="Arial"/>
                <w:szCs w:val="21"/>
              </w:rPr>
            </w:pPr>
            <w:r>
              <w:rPr>
                <w:rFonts w:hint="eastAsia" w:ascii="宋体" w:hAnsi="宋体" w:cs="Arial"/>
                <w:szCs w:val="21"/>
              </w:rPr>
              <w:t>个人或组织业绩指标的分析</w:t>
            </w:r>
          </w:p>
        </w:tc>
        <w:tc>
          <w:tcPr>
            <w:tcW w:w="3061" w:type="dxa"/>
            <w:vAlign w:val="center"/>
          </w:tcPr>
          <w:p w14:paraId="0F18A126">
            <w:pPr>
              <w:widowControl/>
              <w:adjustRightInd w:val="0"/>
              <w:snapToGrid w:val="0"/>
              <w:ind w:right="105" w:rightChars="50"/>
              <w:jc w:val="center"/>
              <w:rPr>
                <w:rFonts w:ascii="宋体" w:hAnsi="宋体" w:cs="Arial"/>
                <w:szCs w:val="21"/>
              </w:rPr>
            </w:pPr>
            <w:r>
              <w:rPr>
                <w:rFonts w:hint="eastAsia" w:ascii="宋体" w:hAnsi="宋体" w:cs="Arial"/>
                <w:szCs w:val="21"/>
              </w:rPr>
              <w:t>评估培训结果的转化程度</w:t>
            </w:r>
          </w:p>
        </w:tc>
      </w:tr>
    </w:tbl>
    <w:p w14:paraId="7D6BCDE0">
      <w:pPr>
        <w:pStyle w:val="141"/>
        <w:adjustRightInd w:val="0"/>
        <w:snapToGrid w:val="0"/>
        <w:spacing w:line="360" w:lineRule="auto"/>
        <w:ind w:right="325" w:rightChars="155"/>
        <w:rPr>
          <w:rFonts w:ascii="宋体" w:hAnsi="宋体"/>
          <w:b/>
          <w:sz w:val="24"/>
        </w:rPr>
      </w:pPr>
    </w:p>
    <w:p w14:paraId="6D9A6F7D">
      <w:pPr>
        <w:pStyle w:val="141"/>
        <w:adjustRightInd w:val="0"/>
        <w:spacing w:line="312" w:lineRule="auto"/>
        <w:ind w:right="325" w:rightChars="155"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②员工的职业发展</w:t>
      </w:r>
    </w:p>
    <w:p w14:paraId="0C93F05A">
      <w:pPr>
        <w:shd w:val="clear" w:color="auto" w:fill="FFFFFF"/>
        <w:spacing w:line="312" w:lineRule="auto"/>
        <w:ind w:left="-2" w:leftChars="-1" w:right="-2" w:firstLine="420" w:firstLineChars="200"/>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szCs w:val="21"/>
        </w:rPr>
        <w:t>公司</w:t>
      </w:r>
      <w:r>
        <w:rPr>
          <w:rFonts w:hint="eastAsia" w:asciiTheme="minorEastAsia" w:hAnsiTheme="minorEastAsia" w:eastAsiaTheme="minorEastAsia" w:cstheme="minorEastAsia"/>
          <w:color w:val="000000"/>
          <w:szCs w:val="21"/>
        </w:rPr>
        <w:t>重视员工的职业发展，为员工在公司内的多元化发展开辟了多条途径，并为员工职业生涯规划的实施进行了卓有成效的努力。</w:t>
      </w:r>
      <w:r>
        <w:rPr>
          <w:rFonts w:hint="eastAsia" w:asciiTheme="minorEastAsia" w:hAnsiTheme="minorEastAsia" w:eastAsiaTheme="minorEastAsia" w:cstheme="minorEastAsia"/>
          <w:szCs w:val="21"/>
        </w:rPr>
        <w:t>公司通过约束监督机制、牵引机制、激励机制、竞争淘汰机制为有发展意愿的员工提供个人职业发展的培养途径。</w:t>
      </w:r>
    </w:p>
    <w:p w14:paraId="6E7E7F55">
      <w:pPr>
        <w:spacing w:line="312" w:lineRule="auto"/>
        <w:ind w:firstLine="422" w:firstLineChars="200"/>
        <w:rPr>
          <w:rFonts w:asciiTheme="minorEastAsia" w:hAnsiTheme="minorEastAsia" w:eastAsiaTheme="minorEastAsia" w:cstheme="minorEastAsia"/>
          <w:szCs w:val="21"/>
          <w:highlight w:val="yellow"/>
        </w:rPr>
      </w:pPr>
      <w:r>
        <w:rPr>
          <w:rFonts w:hint="eastAsia" w:asciiTheme="minorEastAsia" w:hAnsiTheme="minorEastAsia" w:eastAsiaTheme="minorEastAsia" w:cstheme="minorEastAsia"/>
          <w:b/>
          <w:szCs w:val="21"/>
        </w:rPr>
        <w:t>初级人才：</w:t>
      </w:r>
      <w:r>
        <w:rPr>
          <w:rFonts w:hint="eastAsia" w:asciiTheme="minorEastAsia" w:hAnsiTheme="minorEastAsia" w:eastAsiaTheme="minorEastAsia" w:cstheme="minorEastAsia"/>
          <w:szCs w:val="21"/>
        </w:rPr>
        <w:t>以老（员工）带新（员工）制、强制轮岗学习、一专多能、一人多机、一人多岗培养制，委托培养、技能辅导班，其晋升通道包括：1、管理通道：员工—</w:t>
      </w:r>
      <w:r>
        <w:rPr>
          <w:rFonts w:hint="eastAsia" w:asciiTheme="minorEastAsia" w:hAnsiTheme="minorEastAsia" w:eastAsiaTheme="minorEastAsia" w:cstheme="minorEastAsia"/>
          <w:color w:val="333333"/>
          <w:szCs w:val="21"/>
          <w:shd w:val="clear" w:color="auto" w:fill="FFFFFF"/>
        </w:rPr>
        <w:t>→</w:t>
      </w:r>
      <w:r>
        <w:rPr>
          <w:rFonts w:hint="eastAsia" w:asciiTheme="minorEastAsia" w:hAnsiTheme="minorEastAsia" w:eastAsiaTheme="minorEastAsia" w:cstheme="minorEastAsia"/>
          <w:szCs w:val="21"/>
        </w:rPr>
        <w:t>组长—</w:t>
      </w:r>
      <w:r>
        <w:rPr>
          <w:rFonts w:hint="eastAsia" w:asciiTheme="minorEastAsia" w:hAnsiTheme="minorEastAsia" w:eastAsiaTheme="minorEastAsia" w:cstheme="minorEastAsia"/>
          <w:color w:val="333333"/>
          <w:szCs w:val="21"/>
          <w:shd w:val="clear" w:color="auto" w:fill="FFFFFF"/>
        </w:rPr>
        <w:t>→</w:t>
      </w:r>
      <w:r>
        <w:rPr>
          <w:rFonts w:hint="eastAsia" w:asciiTheme="minorEastAsia" w:hAnsiTheme="minorEastAsia" w:eastAsiaTheme="minorEastAsia" w:cstheme="minorEastAsia"/>
          <w:szCs w:val="21"/>
        </w:rPr>
        <w:t>车间主任—</w:t>
      </w:r>
      <w:r>
        <w:rPr>
          <w:rFonts w:hint="eastAsia" w:asciiTheme="minorEastAsia" w:hAnsiTheme="minorEastAsia" w:eastAsiaTheme="minorEastAsia" w:cstheme="minorEastAsia"/>
          <w:color w:val="333333"/>
          <w:szCs w:val="21"/>
          <w:shd w:val="clear" w:color="auto" w:fill="FFFFFF"/>
        </w:rPr>
        <w:t>→</w:t>
      </w:r>
      <w:r>
        <w:rPr>
          <w:rFonts w:hint="eastAsia" w:asciiTheme="minorEastAsia" w:hAnsiTheme="minorEastAsia" w:eastAsiaTheme="minorEastAsia" w:cstheme="minorEastAsia"/>
          <w:szCs w:val="21"/>
        </w:rPr>
        <w:t>更高职位；2、技能通道：员工—</w:t>
      </w:r>
      <w:r>
        <w:rPr>
          <w:rFonts w:hint="eastAsia" w:asciiTheme="minorEastAsia" w:hAnsiTheme="minorEastAsia" w:eastAsiaTheme="minorEastAsia" w:cstheme="minorEastAsia"/>
          <w:color w:val="333333"/>
          <w:szCs w:val="21"/>
          <w:shd w:val="clear" w:color="auto" w:fill="FFFFFF"/>
        </w:rPr>
        <w:t>→</w:t>
      </w:r>
      <w:r>
        <w:rPr>
          <w:rFonts w:hint="eastAsia" w:asciiTheme="minorEastAsia" w:hAnsiTheme="minorEastAsia" w:eastAsiaTheme="minorEastAsia" w:cstheme="minorEastAsia"/>
          <w:szCs w:val="21"/>
        </w:rPr>
        <w:t>技工—</w:t>
      </w:r>
      <w:r>
        <w:rPr>
          <w:rFonts w:hint="eastAsia" w:asciiTheme="minorEastAsia" w:hAnsiTheme="minorEastAsia" w:eastAsiaTheme="minorEastAsia" w:cstheme="minorEastAsia"/>
          <w:color w:val="333333"/>
          <w:szCs w:val="21"/>
          <w:shd w:val="clear" w:color="auto" w:fill="FFFFFF"/>
        </w:rPr>
        <w:t>→</w:t>
      </w:r>
      <w:r>
        <w:rPr>
          <w:rFonts w:hint="eastAsia" w:asciiTheme="minorEastAsia" w:hAnsiTheme="minorEastAsia" w:eastAsiaTheme="minorEastAsia" w:cstheme="minorEastAsia"/>
          <w:szCs w:val="21"/>
        </w:rPr>
        <w:t>资深员工。</w:t>
      </w:r>
    </w:p>
    <w:p w14:paraId="56D32662">
      <w:pPr>
        <w:spacing w:line="312"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中、高级人才：</w:t>
      </w:r>
      <w:r>
        <w:rPr>
          <w:rFonts w:hint="eastAsia" w:asciiTheme="minorEastAsia" w:hAnsiTheme="minorEastAsia" w:eastAsiaTheme="minorEastAsia" w:cstheme="minorEastAsia"/>
          <w:szCs w:val="21"/>
        </w:rPr>
        <w:t>轮换制、公开竞聘制、后备人才培养制、专项管理/技能培训；其晋升通道主要为管理通道。</w:t>
      </w:r>
    </w:p>
    <w:p w14:paraId="747464B9">
      <w:pPr>
        <w:spacing w:line="312"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通过建立管理者通道和任职资格通道等多重职业发展通道，</w:t>
      </w:r>
      <w:r>
        <w:rPr>
          <w:rFonts w:hint="eastAsia" w:asciiTheme="minorEastAsia" w:hAnsiTheme="minorEastAsia" w:eastAsiaTheme="minorEastAsia" w:cstheme="minorEastAsia"/>
          <w:bCs/>
          <w:szCs w:val="21"/>
        </w:rPr>
        <w:t>打通专业晋升通道，设置行政和专业的双晋升通道的职业发展模式，促进员工多通道发展。</w:t>
      </w:r>
      <w:r>
        <w:rPr>
          <w:rFonts w:hint="eastAsia" w:asciiTheme="minorEastAsia" w:hAnsiTheme="minorEastAsia" w:eastAsiaTheme="minorEastAsia" w:cstheme="minorEastAsia"/>
          <w:szCs w:val="21"/>
        </w:rPr>
        <w:t>通过</w:t>
      </w:r>
      <w:r>
        <w:rPr>
          <w:rFonts w:hint="eastAsia" w:asciiTheme="minorEastAsia" w:hAnsiTheme="minorEastAsia" w:eastAsiaTheme="minorEastAsia" w:cstheme="minorEastAsia"/>
          <w:bCs/>
          <w:szCs w:val="21"/>
        </w:rPr>
        <w:t>开放多种职业通道，强化员工激励，留住人才并充分挖掘员工潜力，形成职业梯队。</w:t>
      </w:r>
    </w:p>
    <w:p w14:paraId="11A8C847">
      <w:pPr>
        <w:spacing w:line="312" w:lineRule="auto"/>
        <w:ind w:left="-2" w:leftChars="-1" w:right="-2"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公司为员工创造了公平、公正、公开的良好竞争环境，实行中层干部公开竞聘制、重要岗位轮换制、考核淘汰制等，严格考核，科学激励，倡导“能者上、庸者下”， 为各类人才提供上升通道，特别是对技术、营销、项目管理等专业性强的岗位，建立多渠道晋升体系，极大地鼓舞了员工志气、团队精神，增强了燎原的核心竞争力。</w:t>
      </w:r>
    </w:p>
    <w:p w14:paraId="49FEFA69">
      <w:pPr>
        <w:pStyle w:val="141"/>
        <w:adjustRightInd w:val="0"/>
        <w:spacing w:line="312" w:lineRule="auto"/>
        <w:ind w:right="325" w:rightChars="155" w:firstLine="422" w:firstLineChars="200"/>
        <w:rPr>
          <w:rFonts w:ascii="宋体" w:hAnsi="宋体"/>
          <w:b/>
          <w:szCs w:val="21"/>
        </w:rPr>
      </w:pPr>
      <w:r>
        <w:rPr>
          <w:rFonts w:hint="eastAsia" w:ascii="宋体" w:hAnsi="宋体"/>
          <w:b/>
          <w:szCs w:val="21"/>
        </w:rPr>
        <w:t>（3）职业健康与安全</w:t>
      </w:r>
    </w:p>
    <w:p w14:paraId="1FD54425">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在安全生产方面，公司遵循“安全第一，预防为主”的工作方针，为避免安全事故的发生和确保员工的人身安全，公司通过制订、完善资产保全、防火防盗管理制度，确保企业财产安全。同时，从培养员工安全意识、开展三级安全教育入手，针对不同岗位的安全特点，采取岗位安全培训、配备劳动保护用品、为全体员工缴纳养老和工伤保险等安全防范措施，确保所有员工掌握岗位需求的安全知识和技能，以保证职工的人身安全。特别要指出的是，我们通过一套体制激发员工自发地参与到公司安全管理体系建设中来，比如我们确立的义务消防员制度以及公司广泛开展的 6S运动，通过这些员工自身深入参与的活动，来创造更深入人心的安全文化。</w:t>
      </w:r>
    </w:p>
    <w:p w14:paraId="167CF751">
      <w:pPr>
        <w:pStyle w:val="82"/>
        <w:shd w:val="clear" w:color="auto" w:fill="FFFFFF"/>
        <w:spacing w:before="0" w:beforeAutospacing="0" w:after="0" w:afterAutospacing="0" w:line="312" w:lineRule="auto"/>
        <w:ind w:firstLine="420" w:firstLineChars="200"/>
        <w:textAlignment w:val="baseline"/>
        <w:rPr>
          <w:sz w:val="21"/>
          <w:szCs w:val="21"/>
        </w:rPr>
      </w:pPr>
      <w:r>
        <w:rPr>
          <w:rFonts w:hint="eastAsia" w:cs="Arial"/>
          <w:bCs/>
          <w:kern w:val="2"/>
          <w:sz w:val="21"/>
          <w:szCs w:val="21"/>
        </w:rPr>
        <w:t>公司成立安全生产管理小组，制订安全生产管理制度，统筹安排安全培训、安全检查、安全设施的购置及维修、防护用品的购置等工作与费用；公司与部门、部门与车间、车间与班组均签订了安全生产责任书，做到安全职责明确，责任落实到人；各部门、分公司负责人都是区域第一责任人，配备技术好、责任性强的干部作为专职安全员，下属车间均配备兼职安全员，建立安全管理台账，做到能及时发现问题、解决问题；各生产班组建立每月一次的安全活动和隐患查找整改制度，做好详细记录的同时及时消除事故隐患；</w:t>
      </w:r>
      <w:r>
        <w:rPr>
          <w:rFonts w:hint="eastAsia" w:cs="Arial"/>
          <w:bCs/>
          <w:kern w:val="2"/>
          <w:sz w:val="21"/>
          <w:szCs w:val="21"/>
          <w:lang w:eastAsia="zh-CN"/>
        </w:rPr>
        <w:t>2025</w:t>
      </w:r>
      <w:r>
        <w:rPr>
          <w:rFonts w:hint="eastAsia" w:cs="Arial"/>
          <w:bCs/>
          <w:kern w:val="2"/>
          <w:sz w:val="21"/>
          <w:szCs w:val="21"/>
        </w:rPr>
        <w:t>年组织举办了“安全月”、“消防月”等一系列安全生产活动；公司为有职业危害因素接触的岗位员工按规定频次和标准发放劳动保护用具，加强对特殊工种的防护；</w:t>
      </w:r>
      <w:r>
        <w:rPr>
          <w:sz w:val="21"/>
          <w:szCs w:val="21"/>
        </w:rPr>
        <w:t>构建应急管理体系</w:t>
      </w:r>
      <w:r>
        <w:rPr>
          <w:rFonts w:hint="eastAsia"/>
          <w:sz w:val="21"/>
          <w:szCs w:val="21"/>
        </w:rPr>
        <w:t>，</w:t>
      </w:r>
      <w:r>
        <w:rPr>
          <w:sz w:val="21"/>
          <w:szCs w:val="21"/>
        </w:rPr>
        <w:t>强化企业自救能力</w:t>
      </w:r>
      <w:r>
        <w:rPr>
          <w:rFonts w:hint="eastAsia"/>
          <w:sz w:val="21"/>
          <w:szCs w:val="21"/>
        </w:rPr>
        <w:t>，</w:t>
      </w:r>
      <w:r>
        <w:rPr>
          <w:sz w:val="21"/>
          <w:szCs w:val="21"/>
        </w:rPr>
        <w:t>针对公司生产过程中存在的危险有害因素可能导致的不同紧急状况，建立相应应急预案，</w:t>
      </w:r>
      <w:r>
        <w:rPr>
          <w:rFonts w:hint="eastAsia"/>
          <w:sz w:val="21"/>
          <w:szCs w:val="21"/>
        </w:rPr>
        <w:t>成立</w:t>
      </w:r>
      <w:r>
        <w:rPr>
          <w:sz w:val="21"/>
          <w:szCs w:val="21"/>
        </w:rPr>
        <w:t>应急救援</w:t>
      </w:r>
      <w:r>
        <w:rPr>
          <w:rFonts w:hint="eastAsia"/>
          <w:sz w:val="21"/>
          <w:szCs w:val="21"/>
        </w:rPr>
        <w:t>小组</w:t>
      </w:r>
      <w:r>
        <w:rPr>
          <w:sz w:val="21"/>
          <w:szCs w:val="21"/>
        </w:rPr>
        <w:t>，</w:t>
      </w:r>
      <w:r>
        <w:rPr>
          <w:rFonts w:hint="eastAsia" w:cs="Arial"/>
          <w:bCs/>
          <w:kern w:val="2"/>
          <w:sz w:val="21"/>
          <w:szCs w:val="21"/>
        </w:rPr>
        <w:t>并不定期组织应急预案演练，</w:t>
      </w:r>
      <w:r>
        <w:rPr>
          <w:sz w:val="21"/>
          <w:szCs w:val="21"/>
        </w:rPr>
        <w:t>提高应急人员在紧急情况下妥善处置事故的能力，检验发现预案中存在的问题，提高预案的科学性、实用性和可操作性，力争将员工生命、财产损失的风险降至最低。</w:t>
      </w:r>
    </w:p>
    <w:p w14:paraId="10B99B6E">
      <w:pPr>
        <w:widowControl/>
        <w:jc w:val="center"/>
        <w:rPr>
          <w:rFonts w:ascii="宋体" w:hAnsi="宋体"/>
          <w:b/>
          <w:color w:val="000000"/>
          <w:szCs w:val="21"/>
        </w:rPr>
      </w:pPr>
      <w:r>
        <w:rPr>
          <w:rFonts w:hint="eastAsia" w:ascii="宋体" w:hAnsi="宋体"/>
          <w:b/>
          <w:color w:val="000000"/>
          <w:szCs w:val="21"/>
        </w:rPr>
        <w:t>图表12消防安全演习</w:t>
      </w:r>
    </w:p>
    <w:p w14:paraId="263C5B5F">
      <w:pPr>
        <w:pStyle w:val="387"/>
        <w:spacing w:line="312" w:lineRule="auto"/>
        <w:ind w:firstLine="0" w:firstLineChars="0"/>
        <w:jc w:val="center"/>
        <w:rPr>
          <w:rFonts w:ascii="宋体"/>
          <w:b/>
          <w:sz w:val="24"/>
        </w:rPr>
      </w:pPr>
      <w:r>
        <w:rPr>
          <w:b/>
          <w:sz w:val="24"/>
        </w:rPr>
        <w:drawing>
          <wp:inline distT="0" distB="0" distL="0" distR="0">
            <wp:extent cx="2303780" cy="3072765"/>
            <wp:effectExtent l="0" t="0" r="7620" b="635"/>
            <wp:docPr id="13" name="图片 1" descr="D:\Documents\Tencent Files\396964404\Image\C2C\CA53A8E73BA812EE8CF76219B8C59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D:\Documents\Tencent Files\396964404\Image\C2C\CA53A8E73BA812EE8CF76219B8C59107.jpg"/>
                    <pic:cNvPicPr>
                      <a:picLocks noChangeAspect="1" noChangeArrowheads="1"/>
                    </pic:cNvPicPr>
                  </pic:nvPicPr>
                  <pic:blipFill>
                    <a:blip r:embed="rId16" cstate="print"/>
                    <a:srcRect/>
                    <a:stretch>
                      <a:fillRect/>
                    </a:stretch>
                  </pic:blipFill>
                  <pic:spPr>
                    <a:xfrm>
                      <a:off x="0" y="0"/>
                      <a:ext cx="2303780" cy="3072765"/>
                    </a:xfrm>
                    <a:prstGeom prst="rect">
                      <a:avLst/>
                    </a:prstGeom>
                    <a:noFill/>
                    <a:ln w="9525">
                      <a:noFill/>
                      <a:miter lim="800000"/>
                      <a:headEnd/>
                      <a:tailEnd/>
                    </a:ln>
                  </pic:spPr>
                </pic:pic>
              </a:graphicData>
            </a:graphic>
          </wp:inline>
        </w:drawing>
      </w:r>
      <w:r>
        <w:rPr>
          <w:rFonts w:hint="eastAsia"/>
          <w:b/>
          <w:sz w:val="24"/>
        </w:rPr>
        <w:t xml:space="preserve">  </w:t>
      </w:r>
      <w:r>
        <w:rPr>
          <w:b/>
          <w:sz w:val="24"/>
          <w:szCs w:val="24"/>
        </w:rPr>
        <w:drawing>
          <wp:inline distT="0" distB="0" distL="0" distR="0">
            <wp:extent cx="2301875" cy="3068955"/>
            <wp:effectExtent l="0" t="0" r="9525" b="4445"/>
            <wp:docPr id="2698" name="图片 1" descr="C:\Users\ADMINI~1\AppData\Local\Temp\WeChat Files\9e6cd5966878f55fe715417ba3fd2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 name="图片 1" descr="C:\Users\ADMINI~1\AppData\Local\Temp\WeChat Files\9e6cd5966878f55fe715417ba3fd2b2.jpg"/>
                    <pic:cNvPicPr>
                      <a:picLocks noChangeAspect="1" noChangeArrowheads="1"/>
                    </pic:cNvPicPr>
                  </pic:nvPicPr>
                  <pic:blipFill>
                    <a:blip r:embed="rId17" cstate="print"/>
                    <a:srcRect/>
                    <a:stretch>
                      <a:fillRect/>
                    </a:stretch>
                  </pic:blipFill>
                  <pic:spPr>
                    <a:xfrm>
                      <a:off x="0" y="0"/>
                      <a:ext cx="2301875" cy="3068955"/>
                    </a:xfrm>
                    <a:prstGeom prst="rect">
                      <a:avLst/>
                    </a:prstGeom>
                    <a:noFill/>
                    <a:ln w="9525">
                      <a:noFill/>
                      <a:miter lim="800000"/>
                      <a:headEnd/>
                      <a:tailEnd/>
                    </a:ln>
                  </pic:spPr>
                </pic:pic>
              </a:graphicData>
            </a:graphic>
          </wp:inline>
        </w:drawing>
      </w:r>
    </w:p>
    <w:p w14:paraId="024BAD28">
      <w:pPr>
        <w:spacing w:line="312" w:lineRule="auto"/>
        <w:ind w:firstLine="420" w:firstLineChars="200"/>
        <w:rPr>
          <w:rFonts w:ascii="宋体" w:hAnsi="宋体" w:cs="Arial"/>
          <w:bCs/>
          <w:szCs w:val="21"/>
        </w:rPr>
      </w:pPr>
      <w:r>
        <w:rPr>
          <w:rFonts w:ascii="宋体" w:hAnsi="宋体" w:cs="Arial"/>
          <w:bCs/>
          <w:szCs w:val="21"/>
        </w:rPr>
        <w:t>公司坚持以人为本的原则，关注员工的身体健康。公司严格运行 IS</w:t>
      </w:r>
      <w:r>
        <w:rPr>
          <w:rFonts w:hint="eastAsia" w:ascii="宋体" w:hAnsi="宋体" w:cs="Arial"/>
          <w:bCs/>
          <w:szCs w:val="21"/>
        </w:rPr>
        <w:t>O 45001</w:t>
      </w:r>
      <w:r>
        <w:rPr>
          <w:rFonts w:ascii="宋体" w:hAnsi="宋体" w:cs="Arial"/>
          <w:bCs/>
          <w:szCs w:val="21"/>
        </w:rPr>
        <w:t>职业健康安全管理体系，</w:t>
      </w:r>
      <w:r>
        <w:rPr>
          <w:rFonts w:hint="eastAsia" w:ascii="宋体" w:hAnsi="宋体" w:cs="Arial"/>
          <w:bCs/>
          <w:szCs w:val="21"/>
        </w:rPr>
        <w:t>202</w:t>
      </w:r>
      <w:r>
        <w:rPr>
          <w:rFonts w:hint="eastAsia" w:ascii="宋体" w:hAnsi="宋体" w:cs="Arial"/>
          <w:bCs/>
          <w:szCs w:val="21"/>
          <w:lang w:val="en-US" w:eastAsia="zh-CN"/>
        </w:rPr>
        <w:t>5</w:t>
      </w:r>
      <w:r>
        <w:rPr>
          <w:rFonts w:hint="eastAsia" w:ascii="宋体" w:hAnsi="宋体" w:cs="Arial"/>
          <w:bCs/>
          <w:szCs w:val="21"/>
        </w:rPr>
        <w:t>年组织了年度员工体检，</w:t>
      </w:r>
      <w:r>
        <w:rPr>
          <w:rFonts w:hint="eastAsia" w:cs="Arial"/>
          <w:bCs/>
          <w:szCs w:val="21"/>
        </w:rPr>
        <w:t>还邀请有资质的医院</w:t>
      </w:r>
      <w:r>
        <w:rPr>
          <w:rFonts w:hint="eastAsia" w:ascii="宋体" w:hAnsi="宋体" w:cs="Arial"/>
          <w:bCs/>
          <w:szCs w:val="21"/>
        </w:rPr>
        <w:t>对职业病危害岗位如噪音岗位员工组织职业病体检，并</w:t>
      </w:r>
      <w:r>
        <w:rPr>
          <w:rFonts w:ascii="宋体" w:hAnsi="宋体" w:cs="Arial"/>
          <w:bCs/>
          <w:szCs w:val="21"/>
        </w:rPr>
        <w:t>建立员工健康档案</w:t>
      </w:r>
      <w:r>
        <w:rPr>
          <w:rFonts w:hint="eastAsia" w:ascii="宋体" w:hAnsi="宋体" w:cs="Arial"/>
          <w:bCs/>
          <w:szCs w:val="21"/>
        </w:rPr>
        <w:t>，使员工及时了解自身的健康状况，起到了“早发现、早诊断、早治疗”的防病治病的目的。</w:t>
      </w:r>
      <w:r>
        <w:rPr>
          <w:rFonts w:ascii="宋体" w:hAnsi="宋体" w:cs="Arial"/>
          <w:bCs/>
          <w:szCs w:val="21"/>
        </w:rPr>
        <w:t>夏天做好防暑降温措施，免费发放防暑药品和冷饮，发放高温补贴；对员工的关心和人性化管理，创建和谐劳动关系企业。</w:t>
      </w:r>
      <w:r>
        <w:rPr>
          <w:rFonts w:hint="eastAsia" w:ascii="宋体" w:hAnsi="宋体" w:cs="Arial"/>
          <w:bCs/>
          <w:szCs w:val="21"/>
          <w:lang w:eastAsia="zh-CN"/>
        </w:rPr>
        <w:t>2025</w:t>
      </w:r>
      <w:r>
        <w:rPr>
          <w:rFonts w:hint="eastAsia" w:ascii="宋体" w:hAnsi="宋体" w:cs="Arial"/>
          <w:bCs/>
          <w:szCs w:val="21"/>
        </w:rPr>
        <w:t>年，公司通过各项职业健康安全工作的策划和实施，有效控制和消除各项职业病危害，确保员工职业健康安全，全年职业病及疑似职业病发生率为0，职业危害岗位员工应急、上岗、在岗、离岗职业健康体检率100%。</w:t>
      </w:r>
    </w:p>
    <w:p w14:paraId="246B4E60">
      <w:pPr>
        <w:pStyle w:val="141"/>
        <w:adjustRightInd w:val="0"/>
        <w:spacing w:line="312" w:lineRule="auto"/>
        <w:ind w:right="325" w:rightChars="155" w:firstLine="422" w:firstLineChars="200"/>
        <w:rPr>
          <w:rFonts w:ascii="宋体" w:hAnsi="宋体"/>
          <w:b/>
          <w:szCs w:val="21"/>
        </w:rPr>
      </w:pPr>
      <w:r>
        <w:rPr>
          <w:rFonts w:hint="eastAsia" w:ascii="宋体" w:hAnsi="宋体"/>
          <w:b/>
          <w:szCs w:val="21"/>
        </w:rPr>
        <w:t>（4）员工权益与关爱</w:t>
      </w:r>
    </w:p>
    <w:p w14:paraId="244AA04B">
      <w:pPr>
        <w:pStyle w:val="82"/>
        <w:shd w:val="clear" w:color="auto" w:fill="FFFFFF"/>
        <w:spacing w:before="0" w:beforeAutospacing="0" w:after="0" w:afterAutospacing="0" w:line="312" w:lineRule="auto"/>
        <w:ind w:firstLine="420" w:firstLineChars="200"/>
        <w:textAlignment w:val="baseline"/>
        <w:rPr>
          <w:b/>
          <w:sz w:val="21"/>
          <w:szCs w:val="21"/>
        </w:rPr>
      </w:pPr>
      <w:r>
        <w:rPr>
          <w:rFonts w:hint="eastAsia"/>
          <w:sz w:val="21"/>
          <w:szCs w:val="21"/>
        </w:rPr>
        <w:t>公司自成立以来，依托公司的文化沉淀，结合公司实际，努力为员工提供不同层次个性化需求的支持。</w:t>
      </w:r>
    </w:p>
    <w:p w14:paraId="64E3A024">
      <w:pPr>
        <w:spacing w:line="360" w:lineRule="auto"/>
        <w:jc w:val="center"/>
        <w:rPr>
          <w:rFonts w:ascii="宋体" w:hAnsi="宋体"/>
          <w:b/>
          <w:color w:val="000000"/>
          <w:szCs w:val="21"/>
        </w:rPr>
      </w:pPr>
      <w:r>
        <w:rPr>
          <w:rFonts w:hint="eastAsia" w:ascii="宋体" w:hAnsi="宋体"/>
          <w:b/>
          <w:color w:val="000000"/>
          <w:szCs w:val="21"/>
        </w:rPr>
        <w:t>图表13 员工个性化需求的支持措施</w:t>
      </w:r>
    </w:p>
    <w:tbl>
      <w:tblPr>
        <w:tblStyle w:val="88"/>
        <w:tblW w:w="9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3"/>
        <w:gridCol w:w="2067"/>
        <w:gridCol w:w="4831"/>
      </w:tblGrid>
      <w:tr w14:paraId="7499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shd w:val="clear" w:color="auto" w:fill="DCE6F2" w:themeFill="accent1" w:themeFillTint="32"/>
            <w:vAlign w:val="center"/>
          </w:tcPr>
          <w:p w14:paraId="6B500916">
            <w:pPr>
              <w:jc w:val="center"/>
              <w:rPr>
                <w:rFonts w:ascii="宋体" w:hAnsi="宋体"/>
                <w:b/>
                <w:szCs w:val="21"/>
              </w:rPr>
            </w:pPr>
            <w:r>
              <w:rPr>
                <w:rFonts w:hint="eastAsia" w:ascii="宋体" w:hAnsi="宋体"/>
                <w:b/>
                <w:szCs w:val="21"/>
              </w:rPr>
              <w:t>员工类别</w:t>
            </w:r>
          </w:p>
        </w:tc>
        <w:tc>
          <w:tcPr>
            <w:tcW w:w="2067" w:type="dxa"/>
            <w:shd w:val="clear" w:color="auto" w:fill="DCE6F2" w:themeFill="accent1" w:themeFillTint="32"/>
            <w:vAlign w:val="center"/>
          </w:tcPr>
          <w:p w14:paraId="0762C62A">
            <w:pPr>
              <w:ind w:right="241"/>
              <w:jc w:val="center"/>
              <w:rPr>
                <w:rFonts w:ascii="宋体" w:hAnsi="宋体"/>
                <w:b/>
                <w:szCs w:val="21"/>
              </w:rPr>
            </w:pPr>
            <w:r>
              <w:rPr>
                <w:rFonts w:hint="eastAsia" w:ascii="宋体" w:hAnsi="宋体"/>
                <w:b/>
                <w:szCs w:val="21"/>
              </w:rPr>
              <w:t>个性化需要</w:t>
            </w:r>
          </w:p>
        </w:tc>
        <w:tc>
          <w:tcPr>
            <w:tcW w:w="4831" w:type="dxa"/>
            <w:shd w:val="clear" w:color="auto" w:fill="DCE6F2" w:themeFill="accent1" w:themeFillTint="32"/>
            <w:vAlign w:val="center"/>
          </w:tcPr>
          <w:p w14:paraId="5BC3E264">
            <w:pPr>
              <w:jc w:val="center"/>
              <w:rPr>
                <w:rFonts w:ascii="宋体" w:hAnsi="宋体"/>
                <w:b/>
                <w:szCs w:val="21"/>
              </w:rPr>
            </w:pPr>
            <w:r>
              <w:rPr>
                <w:rFonts w:hint="eastAsia" w:ascii="宋体" w:hAnsi="宋体"/>
                <w:b/>
                <w:szCs w:val="21"/>
              </w:rPr>
              <w:t>支持措施</w:t>
            </w:r>
          </w:p>
        </w:tc>
      </w:tr>
      <w:tr w14:paraId="318A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Align w:val="center"/>
          </w:tcPr>
          <w:p w14:paraId="48AF52E5">
            <w:pPr>
              <w:jc w:val="center"/>
              <w:rPr>
                <w:rFonts w:ascii="宋体" w:hAnsi="宋体"/>
                <w:b/>
                <w:szCs w:val="21"/>
              </w:rPr>
            </w:pPr>
            <w:r>
              <w:rPr>
                <w:rFonts w:ascii="宋体" w:hAnsi="宋体"/>
                <w:b/>
                <w:szCs w:val="21"/>
              </w:rPr>
              <w:t>一线员工</w:t>
            </w:r>
          </w:p>
        </w:tc>
        <w:tc>
          <w:tcPr>
            <w:tcW w:w="2067" w:type="dxa"/>
            <w:vAlign w:val="center"/>
          </w:tcPr>
          <w:p w14:paraId="44CEB880">
            <w:pPr>
              <w:jc w:val="center"/>
              <w:rPr>
                <w:rFonts w:ascii="宋体" w:hAnsi="宋体"/>
                <w:szCs w:val="21"/>
              </w:rPr>
            </w:pPr>
            <w:r>
              <w:rPr>
                <w:rFonts w:ascii="宋体" w:hAnsi="宋体"/>
                <w:szCs w:val="21"/>
              </w:rPr>
              <w:t>生活保障的需要</w:t>
            </w:r>
          </w:p>
        </w:tc>
        <w:tc>
          <w:tcPr>
            <w:tcW w:w="4831" w:type="dxa"/>
            <w:vAlign w:val="center"/>
          </w:tcPr>
          <w:p w14:paraId="04B8F2FD">
            <w:pPr>
              <w:jc w:val="center"/>
              <w:rPr>
                <w:rFonts w:ascii="宋体" w:hAnsi="宋体"/>
                <w:szCs w:val="21"/>
              </w:rPr>
            </w:pPr>
            <w:r>
              <w:rPr>
                <w:rFonts w:ascii="宋体" w:hAnsi="宋体"/>
                <w:szCs w:val="21"/>
              </w:rPr>
              <w:t>实行薪酬与绩效挂钩</w:t>
            </w:r>
          </w:p>
        </w:tc>
      </w:tr>
      <w:tr w14:paraId="2448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restart"/>
            <w:vAlign w:val="center"/>
          </w:tcPr>
          <w:p w14:paraId="7D874654">
            <w:pPr>
              <w:jc w:val="center"/>
              <w:rPr>
                <w:rFonts w:ascii="宋体" w:hAnsi="宋体"/>
                <w:b/>
                <w:szCs w:val="21"/>
              </w:rPr>
            </w:pPr>
            <w:r>
              <w:rPr>
                <w:rFonts w:hint="eastAsia" w:ascii="宋体" w:hAnsi="宋体"/>
                <w:b/>
                <w:szCs w:val="21"/>
              </w:rPr>
              <w:t xml:space="preserve">  基层</w:t>
            </w:r>
            <w:r>
              <w:rPr>
                <w:rFonts w:ascii="宋体" w:hAnsi="宋体"/>
                <w:b/>
                <w:szCs w:val="21"/>
              </w:rPr>
              <w:t>管理人员</w:t>
            </w:r>
            <w:r>
              <w:rPr>
                <w:rFonts w:hint="eastAsia" w:ascii="宋体" w:hAnsi="宋体"/>
                <w:b/>
                <w:szCs w:val="21"/>
              </w:rPr>
              <w:t xml:space="preserve">       </w:t>
            </w:r>
          </w:p>
          <w:p w14:paraId="67E0CC7C">
            <w:pPr>
              <w:jc w:val="center"/>
              <w:rPr>
                <w:rFonts w:ascii="宋体" w:hAnsi="宋体"/>
                <w:b/>
                <w:szCs w:val="21"/>
              </w:rPr>
            </w:pPr>
            <w:r>
              <w:rPr>
                <w:rFonts w:ascii="宋体" w:hAnsi="宋体"/>
                <w:b/>
                <w:szCs w:val="21"/>
              </w:rPr>
              <w:t>（技术人员）</w:t>
            </w:r>
          </w:p>
        </w:tc>
        <w:tc>
          <w:tcPr>
            <w:tcW w:w="2067" w:type="dxa"/>
            <w:vAlign w:val="center"/>
          </w:tcPr>
          <w:p w14:paraId="7D9584FF">
            <w:pPr>
              <w:jc w:val="center"/>
              <w:rPr>
                <w:rFonts w:ascii="宋体" w:hAnsi="宋体"/>
                <w:szCs w:val="21"/>
              </w:rPr>
            </w:pPr>
            <w:r>
              <w:rPr>
                <w:rFonts w:ascii="宋体" w:hAnsi="宋体"/>
                <w:szCs w:val="21"/>
              </w:rPr>
              <w:t>工作回报的需要</w:t>
            </w:r>
          </w:p>
        </w:tc>
        <w:tc>
          <w:tcPr>
            <w:tcW w:w="4831" w:type="dxa"/>
            <w:vAlign w:val="center"/>
          </w:tcPr>
          <w:p w14:paraId="1880130A">
            <w:pPr>
              <w:jc w:val="center"/>
              <w:rPr>
                <w:rFonts w:ascii="宋体" w:hAnsi="宋体"/>
                <w:szCs w:val="21"/>
              </w:rPr>
            </w:pPr>
            <w:r>
              <w:rPr>
                <w:rFonts w:ascii="宋体" w:hAnsi="宋体"/>
                <w:szCs w:val="21"/>
              </w:rPr>
              <w:t>实行薪酬与绩效挂钩</w:t>
            </w:r>
          </w:p>
        </w:tc>
      </w:tr>
      <w:tr w14:paraId="5C21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continue"/>
            <w:vAlign w:val="center"/>
          </w:tcPr>
          <w:p w14:paraId="612BB0E8">
            <w:pPr>
              <w:ind w:firstLine="422" w:firstLineChars="200"/>
              <w:jc w:val="center"/>
              <w:rPr>
                <w:rFonts w:ascii="宋体" w:hAnsi="宋体"/>
                <w:b/>
                <w:szCs w:val="21"/>
              </w:rPr>
            </w:pPr>
          </w:p>
        </w:tc>
        <w:tc>
          <w:tcPr>
            <w:tcW w:w="2067" w:type="dxa"/>
            <w:vAlign w:val="center"/>
          </w:tcPr>
          <w:p w14:paraId="2762A572">
            <w:pPr>
              <w:jc w:val="center"/>
              <w:rPr>
                <w:rFonts w:ascii="宋体" w:hAnsi="宋体"/>
                <w:szCs w:val="21"/>
              </w:rPr>
            </w:pPr>
            <w:r>
              <w:rPr>
                <w:rFonts w:ascii="宋体" w:hAnsi="宋体"/>
                <w:szCs w:val="21"/>
              </w:rPr>
              <w:t>学习成长的需要</w:t>
            </w:r>
          </w:p>
        </w:tc>
        <w:tc>
          <w:tcPr>
            <w:tcW w:w="4831" w:type="dxa"/>
            <w:vAlign w:val="center"/>
          </w:tcPr>
          <w:p w14:paraId="5B4E23C0">
            <w:pPr>
              <w:jc w:val="center"/>
              <w:rPr>
                <w:rFonts w:ascii="宋体" w:hAnsi="宋体"/>
                <w:szCs w:val="21"/>
              </w:rPr>
            </w:pPr>
            <w:r>
              <w:rPr>
                <w:rFonts w:ascii="宋体" w:hAnsi="宋体"/>
                <w:szCs w:val="21"/>
              </w:rPr>
              <w:t>提供各类培训</w:t>
            </w:r>
          </w:p>
        </w:tc>
      </w:tr>
      <w:tr w14:paraId="779B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restart"/>
            <w:vAlign w:val="center"/>
          </w:tcPr>
          <w:p w14:paraId="4140DE10">
            <w:pPr>
              <w:jc w:val="center"/>
              <w:rPr>
                <w:rFonts w:ascii="宋体" w:hAnsi="宋体"/>
                <w:b/>
                <w:szCs w:val="21"/>
              </w:rPr>
            </w:pPr>
            <w:r>
              <w:rPr>
                <w:rFonts w:hint="eastAsia" w:ascii="宋体" w:hAnsi="宋体"/>
                <w:b/>
                <w:szCs w:val="21"/>
              </w:rPr>
              <w:t>中</w:t>
            </w:r>
            <w:r>
              <w:rPr>
                <w:rFonts w:ascii="宋体" w:hAnsi="宋体"/>
                <w:b/>
                <w:szCs w:val="21"/>
              </w:rPr>
              <w:t>层干部/技术干部</w:t>
            </w:r>
          </w:p>
        </w:tc>
        <w:tc>
          <w:tcPr>
            <w:tcW w:w="2067" w:type="dxa"/>
            <w:vAlign w:val="center"/>
          </w:tcPr>
          <w:p w14:paraId="7F1DBD58">
            <w:pPr>
              <w:jc w:val="center"/>
              <w:rPr>
                <w:rFonts w:ascii="宋体" w:hAnsi="宋体"/>
                <w:szCs w:val="21"/>
              </w:rPr>
            </w:pPr>
            <w:r>
              <w:rPr>
                <w:rFonts w:ascii="宋体" w:hAnsi="宋体"/>
                <w:szCs w:val="21"/>
              </w:rPr>
              <w:t>实现价值的需要</w:t>
            </w:r>
          </w:p>
        </w:tc>
        <w:tc>
          <w:tcPr>
            <w:tcW w:w="4831" w:type="dxa"/>
            <w:vAlign w:val="center"/>
          </w:tcPr>
          <w:p w14:paraId="34728EF0">
            <w:pPr>
              <w:jc w:val="center"/>
              <w:rPr>
                <w:rFonts w:ascii="宋体" w:hAnsi="宋体"/>
                <w:szCs w:val="21"/>
              </w:rPr>
            </w:pPr>
            <w:r>
              <w:rPr>
                <w:rFonts w:ascii="宋体" w:hAnsi="宋体"/>
                <w:szCs w:val="21"/>
              </w:rPr>
              <w:t>竞争上岗、专业技术职称评聘机制、工作充分</w:t>
            </w:r>
          </w:p>
          <w:p w14:paraId="37EF5C4B">
            <w:pPr>
              <w:jc w:val="center"/>
              <w:rPr>
                <w:rFonts w:ascii="宋体" w:hAnsi="宋体"/>
                <w:szCs w:val="21"/>
              </w:rPr>
            </w:pPr>
            <w:r>
              <w:rPr>
                <w:rFonts w:ascii="宋体" w:hAnsi="宋体"/>
                <w:szCs w:val="21"/>
              </w:rPr>
              <w:t>授权</w:t>
            </w:r>
          </w:p>
        </w:tc>
      </w:tr>
      <w:tr w14:paraId="1C81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continue"/>
            <w:vAlign w:val="center"/>
          </w:tcPr>
          <w:p w14:paraId="5FFA279C">
            <w:pPr>
              <w:ind w:firstLine="422" w:firstLineChars="200"/>
              <w:jc w:val="center"/>
              <w:rPr>
                <w:rFonts w:ascii="宋体" w:hAnsi="宋体"/>
                <w:b/>
                <w:szCs w:val="21"/>
              </w:rPr>
            </w:pPr>
          </w:p>
        </w:tc>
        <w:tc>
          <w:tcPr>
            <w:tcW w:w="2067" w:type="dxa"/>
            <w:vAlign w:val="center"/>
          </w:tcPr>
          <w:p w14:paraId="4B2925EB">
            <w:pPr>
              <w:jc w:val="center"/>
              <w:rPr>
                <w:rFonts w:ascii="宋体" w:hAnsi="宋体"/>
                <w:szCs w:val="21"/>
              </w:rPr>
            </w:pPr>
            <w:r>
              <w:rPr>
                <w:rFonts w:ascii="宋体" w:hAnsi="宋体"/>
                <w:szCs w:val="21"/>
              </w:rPr>
              <w:t>学习成长的需要</w:t>
            </w:r>
          </w:p>
        </w:tc>
        <w:tc>
          <w:tcPr>
            <w:tcW w:w="4831" w:type="dxa"/>
            <w:vAlign w:val="center"/>
          </w:tcPr>
          <w:p w14:paraId="66A53378">
            <w:pPr>
              <w:ind w:firstLine="420" w:firstLineChars="200"/>
              <w:jc w:val="center"/>
              <w:rPr>
                <w:rFonts w:ascii="宋体" w:hAnsi="宋体"/>
                <w:szCs w:val="21"/>
              </w:rPr>
            </w:pPr>
            <w:r>
              <w:rPr>
                <w:rFonts w:ascii="宋体" w:hAnsi="宋体"/>
                <w:szCs w:val="21"/>
              </w:rPr>
              <w:t>管理能力提升培训</w:t>
            </w:r>
          </w:p>
        </w:tc>
      </w:tr>
      <w:tr w14:paraId="3CD9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continue"/>
            <w:vAlign w:val="center"/>
          </w:tcPr>
          <w:p w14:paraId="248E1865">
            <w:pPr>
              <w:ind w:firstLine="422" w:firstLineChars="200"/>
              <w:jc w:val="center"/>
              <w:rPr>
                <w:rFonts w:ascii="宋体" w:hAnsi="宋体"/>
                <w:b/>
                <w:szCs w:val="21"/>
              </w:rPr>
            </w:pPr>
          </w:p>
        </w:tc>
        <w:tc>
          <w:tcPr>
            <w:tcW w:w="2067" w:type="dxa"/>
            <w:vAlign w:val="center"/>
          </w:tcPr>
          <w:p w14:paraId="62C39D5B">
            <w:pPr>
              <w:jc w:val="center"/>
              <w:rPr>
                <w:rFonts w:ascii="宋体" w:hAnsi="宋体"/>
                <w:szCs w:val="21"/>
              </w:rPr>
            </w:pPr>
            <w:r>
              <w:rPr>
                <w:rFonts w:ascii="宋体" w:hAnsi="宋体"/>
                <w:szCs w:val="21"/>
              </w:rPr>
              <w:t>工作回报的需要</w:t>
            </w:r>
          </w:p>
        </w:tc>
        <w:tc>
          <w:tcPr>
            <w:tcW w:w="4831" w:type="dxa"/>
            <w:vAlign w:val="center"/>
          </w:tcPr>
          <w:p w14:paraId="4A9D14D3">
            <w:pPr>
              <w:jc w:val="center"/>
              <w:rPr>
                <w:rFonts w:ascii="宋体" w:hAnsi="宋体"/>
                <w:szCs w:val="21"/>
              </w:rPr>
            </w:pPr>
            <w:r>
              <w:rPr>
                <w:rFonts w:hint="eastAsia" w:ascii="宋体" w:hAnsi="宋体"/>
                <w:szCs w:val="21"/>
              </w:rPr>
              <w:t>提高工资等级档次、公司派公车等</w:t>
            </w:r>
          </w:p>
        </w:tc>
      </w:tr>
      <w:tr w14:paraId="378C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Align w:val="center"/>
          </w:tcPr>
          <w:p w14:paraId="38C36C14">
            <w:pPr>
              <w:jc w:val="center"/>
              <w:rPr>
                <w:rFonts w:ascii="宋体" w:hAnsi="宋体"/>
                <w:b/>
                <w:szCs w:val="21"/>
              </w:rPr>
            </w:pPr>
            <w:r>
              <w:rPr>
                <w:rFonts w:ascii="宋体" w:hAnsi="宋体"/>
                <w:b/>
                <w:szCs w:val="21"/>
              </w:rPr>
              <w:t>高层领导</w:t>
            </w:r>
          </w:p>
        </w:tc>
        <w:tc>
          <w:tcPr>
            <w:tcW w:w="2067" w:type="dxa"/>
            <w:vAlign w:val="center"/>
          </w:tcPr>
          <w:p w14:paraId="51433103">
            <w:pPr>
              <w:jc w:val="center"/>
              <w:rPr>
                <w:rFonts w:ascii="宋体" w:hAnsi="宋体"/>
                <w:szCs w:val="21"/>
              </w:rPr>
            </w:pPr>
            <w:r>
              <w:rPr>
                <w:rFonts w:ascii="宋体" w:hAnsi="宋体"/>
                <w:szCs w:val="21"/>
              </w:rPr>
              <w:t>事业成功的需要</w:t>
            </w:r>
          </w:p>
        </w:tc>
        <w:tc>
          <w:tcPr>
            <w:tcW w:w="4831" w:type="dxa"/>
            <w:vAlign w:val="center"/>
          </w:tcPr>
          <w:p w14:paraId="2F253DA6">
            <w:pPr>
              <w:jc w:val="center"/>
              <w:rPr>
                <w:rFonts w:ascii="宋体" w:hAnsi="宋体"/>
                <w:szCs w:val="21"/>
                <w:highlight w:val="yellow"/>
              </w:rPr>
            </w:pPr>
            <w:r>
              <w:rPr>
                <w:rFonts w:hint="eastAsia" w:ascii="宋体" w:hAnsi="宋体"/>
                <w:szCs w:val="21"/>
              </w:rPr>
              <w:t>知识产权管理</w:t>
            </w:r>
            <w:r>
              <w:rPr>
                <w:rFonts w:ascii="宋体" w:hAnsi="宋体"/>
                <w:szCs w:val="21"/>
              </w:rPr>
              <w:t>、</w:t>
            </w:r>
            <w:r>
              <w:rPr>
                <w:rFonts w:hint="eastAsia" w:ascii="宋体" w:hAnsi="宋体"/>
                <w:szCs w:val="21"/>
              </w:rPr>
              <w:t>企业现代管理</w:t>
            </w:r>
          </w:p>
        </w:tc>
      </w:tr>
      <w:tr w14:paraId="6901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restart"/>
            <w:vAlign w:val="center"/>
          </w:tcPr>
          <w:p w14:paraId="66EFF2D7">
            <w:pPr>
              <w:jc w:val="center"/>
              <w:rPr>
                <w:rFonts w:ascii="宋体" w:hAnsi="宋体"/>
                <w:b/>
                <w:szCs w:val="21"/>
              </w:rPr>
            </w:pPr>
            <w:r>
              <w:rPr>
                <w:rFonts w:ascii="宋体" w:hAnsi="宋体"/>
                <w:b/>
                <w:szCs w:val="21"/>
              </w:rPr>
              <w:t>所有员工</w:t>
            </w:r>
          </w:p>
        </w:tc>
        <w:tc>
          <w:tcPr>
            <w:tcW w:w="2067" w:type="dxa"/>
            <w:vAlign w:val="center"/>
          </w:tcPr>
          <w:p w14:paraId="007448AC">
            <w:pPr>
              <w:ind w:right="420"/>
              <w:jc w:val="right"/>
              <w:rPr>
                <w:rFonts w:ascii="宋体" w:hAnsi="宋体"/>
                <w:szCs w:val="21"/>
              </w:rPr>
            </w:pPr>
            <w:r>
              <w:rPr>
                <w:rFonts w:ascii="宋体" w:hAnsi="宋体"/>
                <w:szCs w:val="21"/>
              </w:rPr>
              <w:t>情感的需要</w:t>
            </w:r>
          </w:p>
        </w:tc>
        <w:tc>
          <w:tcPr>
            <w:tcW w:w="4831" w:type="dxa"/>
            <w:vAlign w:val="center"/>
          </w:tcPr>
          <w:p w14:paraId="0279AA54">
            <w:pPr>
              <w:jc w:val="center"/>
              <w:rPr>
                <w:rFonts w:ascii="宋体" w:hAnsi="宋体"/>
                <w:szCs w:val="21"/>
              </w:rPr>
            </w:pPr>
            <w:r>
              <w:rPr>
                <w:rFonts w:hint="eastAsia" w:ascii="宋体" w:hAnsi="宋体"/>
                <w:szCs w:val="21"/>
              </w:rPr>
              <w:t>员工聚餐、</w:t>
            </w:r>
            <w:r>
              <w:rPr>
                <w:rFonts w:ascii="宋体" w:hAnsi="宋体"/>
                <w:szCs w:val="21"/>
              </w:rPr>
              <w:t>社会保险</w:t>
            </w:r>
          </w:p>
        </w:tc>
      </w:tr>
      <w:tr w14:paraId="1529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continue"/>
            <w:vAlign w:val="center"/>
          </w:tcPr>
          <w:p w14:paraId="35E1CFF0">
            <w:pPr>
              <w:ind w:firstLine="420" w:firstLineChars="200"/>
              <w:jc w:val="center"/>
              <w:rPr>
                <w:rFonts w:ascii="宋体" w:hAnsi="宋体"/>
                <w:szCs w:val="21"/>
              </w:rPr>
            </w:pPr>
          </w:p>
        </w:tc>
        <w:tc>
          <w:tcPr>
            <w:tcW w:w="2067" w:type="dxa"/>
            <w:vAlign w:val="center"/>
          </w:tcPr>
          <w:p w14:paraId="516BE95B">
            <w:pPr>
              <w:jc w:val="center"/>
              <w:rPr>
                <w:rFonts w:ascii="宋体" w:hAnsi="宋体"/>
                <w:szCs w:val="21"/>
              </w:rPr>
            </w:pPr>
            <w:r>
              <w:rPr>
                <w:rFonts w:ascii="宋体" w:hAnsi="宋体"/>
                <w:szCs w:val="21"/>
              </w:rPr>
              <w:t>生活休闲的需要</w:t>
            </w:r>
          </w:p>
        </w:tc>
        <w:tc>
          <w:tcPr>
            <w:tcW w:w="4831" w:type="dxa"/>
            <w:vAlign w:val="center"/>
          </w:tcPr>
          <w:p w14:paraId="607F6714">
            <w:pPr>
              <w:jc w:val="center"/>
              <w:rPr>
                <w:rFonts w:ascii="宋体" w:hAnsi="宋体"/>
                <w:szCs w:val="21"/>
              </w:rPr>
            </w:pPr>
            <w:r>
              <w:rPr>
                <w:rFonts w:ascii="宋体" w:hAnsi="宋体"/>
                <w:szCs w:val="21"/>
              </w:rPr>
              <w:t>举办各项文体活动</w:t>
            </w:r>
          </w:p>
        </w:tc>
      </w:tr>
    </w:tbl>
    <w:p w14:paraId="0FEF2FCA">
      <w:pPr>
        <w:pStyle w:val="82"/>
        <w:shd w:val="clear" w:color="auto" w:fill="FFFFFF"/>
        <w:spacing w:before="0" w:beforeAutospacing="0" w:after="0" w:afterAutospacing="0" w:line="360" w:lineRule="auto"/>
        <w:ind w:firstLine="480" w:firstLineChars="200"/>
        <w:textAlignment w:val="baseline"/>
        <w:rPr>
          <w:rFonts w:cs="Arial"/>
          <w:bCs/>
          <w:kern w:val="2"/>
        </w:rPr>
      </w:pPr>
    </w:p>
    <w:p w14:paraId="34C69A4B">
      <w:pPr>
        <w:pStyle w:val="82"/>
        <w:shd w:val="clear" w:color="auto" w:fill="FFFFFF"/>
        <w:spacing w:before="0" w:beforeAutospacing="0" w:after="0" w:afterAutospacing="0" w:line="312" w:lineRule="auto"/>
        <w:ind w:firstLine="420" w:firstLineChars="200"/>
        <w:textAlignment w:val="baseline"/>
        <w:rPr>
          <w:rFonts w:asciiTheme="minorEastAsia" w:hAnsiTheme="minorEastAsia" w:eastAsiaTheme="minorEastAsia" w:cstheme="minorEastAsia"/>
          <w:bCs/>
          <w:kern w:val="2"/>
          <w:sz w:val="21"/>
          <w:szCs w:val="21"/>
        </w:rPr>
      </w:pPr>
      <w:r>
        <w:rPr>
          <w:rFonts w:hint="eastAsia" w:asciiTheme="minorEastAsia" w:hAnsiTheme="minorEastAsia" w:eastAsiaTheme="minorEastAsia" w:cstheme="minorEastAsia"/>
          <w:bCs/>
          <w:kern w:val="2"/>
          <w:sz w:val="21"/>
          <w:szCs w:val="21"/>
        </w:rPr>
        <w:t>公司努力营造亲切、温馨、活泼的大家庭氛围，建立与员工的双向沟通机制，通过积极组织开展民主生活会、合理化建议活动等多种形式；贯彻落实《合理化建议管理制度》；及时嘉奖合理化建议提案，</w:t>
      </w:r>
      <w:r>
        <w:rPr>
          <w:rFonts w:hint="eastAsia" w:asciiTheme="minorEastAsia" w:hAnsiTheme="minorEastAsia" w:eastAsiaTheme="minorEastAsia" w:cstheme="minorEastAsia"/>
          <w:bCs/>
          <w:kern w:val="2"/>
          <w:sz w:val="21"/>
          <w:szCs w:val="21"/>
          <w:lang w:eastAsia="zh-CN"/>
        </w:rPr>
        <w:t>2025</w:t>
      </w:r>
      <w:r>
        <w:rPr>
          <w:rFonts w:hint="eastAsia" w:asciiTheme="minorEastAsia" w:hAnsiTheme="minorEastAsia" w:eastAsiaTheme="minorEastAsia" w:cstheme="minorEastAsia"/>
          <w:bCs/>
          <w:kern w:val="2"/>
          <w:sz w:val="21"/>
          <w:szCs w:val="21"/>
        </w:rPr>
        <w:t>年公司共收到合理化建议15条，对被公司采纳意见的员工给予奖励。保障员工对公司、管理层、工作以及薪酬、培训、福利等各方面的话语权，全面激发员工活力。</w:t>
      </w:r>
    </w:p>
    <w:p w14:paraId="19A70F50">
      <w:pPr>
        <w:pStyle w:val="82"/>
        <w:shd w:val="clear" w:color="auto" w:fill="FFFFFF"/>
        <w:spacing w:before="0" w:beforeAutospacing="0" w:after="0" w:afterAutospacing="0" w:line="312" w:lineRule="auto"/>
        <w:ind w:firstLine="420" w:firstLineChars="200"/>
        <w:textAlignment w:val="baseline"/>
        <w:rPr>
          <w:rFonts w:asciiTheme="minorEastAsia" w:hAnsiTheme="minorEastAsia" w:eastAsiaTheme="minorEastAsia" w:cstheme="minorEastAsia"/>
          <w:bCs/>
          <w:kern w:val="2"/>
          <w:sz w:val="21"/>
          <w:szCs w:val="21"/>
        </w:rPr>
      </w:pPr>
      <w:r>
        <w:rPr>
          <w:rFonts w:hint="eastAsia" w:asciiTheme="minorEastAsia" w:hAnsiTheme="minorEastAsia" w:eastAsiaTheme="minorEastAsia" w:cstheme="minorEastAsia"/>
          <w:bCs/>
          <w:kern w:val="2"/>
          <w:sz w:val="21"/>
          <w:szCs w:val="21"/>
        </w:rPr>
        <w:t>公司为吸引和留住人才，除国家规定节假日外，实行带薪年休假制度；每年定期为员工组织体检，发放节日福利金及物品，对困难户给予经济帮助；积极组织、参加各类文艺、体育活动，活跃员工业余生活；种种努力无不使员工深深感受到了燎原大家庭的温暖，增强了凝聚力，让燎原真正成为一个积极向上、团结协作的优良团队。202</w:t>
      </w:r>
      <w:r>
        <w:rPr>
          <w:rFonts w:hint="eastAsia" w:asciiTheme="minorEastAsia" w:hAnsiTheme="minorEastAsia" w:eastAsiaTheme="minorEastAsia" w:cstheme="minorEastAsia"/>
          <w:bCs/>
          <w:kern w:val="2"/>
          <w:sz w:val="21"/>
          <w:szCs w:val="21"/>
          <w:lang w:val="en-US" w:eastAsia="zh-CN"/>
        </w:rPr>
        <w:t>6</w:t>
      </w:r>
      <w:r>
        <w:rPr>
          <w:rFonts w:hint="eastAsia" w:asciiTheme="minorEastAsia" w:hAnsiTheme="minorEastAsia" w:eastAsiaTheme="minorEastAsia" w:cstheme="minorEastAsia"/>
          <w:bCs/>
          <w:kern w:val="2"/>
          <w:sz w:val="21"/>
          <w:szCs w:val="21"/>
        </w:rPr>
        <w:t>年1月，公司举办了年终晚会。</w:t>
      </w:r>
    </w:p>
    <w:p w14:paraId="38701C2E">
      <w:pPr>
        <w:shd w:val="clear" w:color="auto" w:fill="FFFFFF"/>
        <w:spacing w:line="360" w:lineRule="auto"/>
        <w:ind w:right="325" w:rightChars="155" w:firstLine="422" w:firstLineChars="200"/>
        <w:jc w:val="center"/>
        <w:rPr>
          <w:rFonts w:ascii="宋体" w:hAnsi="宋体"/>
          <w:b/>
          <w:color w:val="000000"/>
          <w:szCs w:val="21"/>
        </w:rPr>
      </w:pPr>
      <w:r>
        <w:rPr>
          <w:rFonts w:hint="eastAsia" w:ascii="宋体" w:hAnsi="宋体"/>
          <w:b/>
          <w:color w:val="000000"/>
          <w:szCs w:val="21"/>
        </w:rPr>
        <w:t>图表</w:t>
      </w:r>
      <w:r>
        <w:rPr>
          <w:rFonts w:ascii="宋体" w:hAnsi="宋体"/>
          <w:b/>
          <w:color w:val="000000"/>
          <w:szCs w:val="21"/>
        </w:rPr>
        <w:t>1</w:t>
      </w:r>
      <w:r>
        <w:rPr>
          <w:rFonts w:hint="eastAsia" w:ascii="宋体" w:hAnsi="宋体"/>
          <w:b/>
          <w:color w:val="000000"/>
          <w:szCs w:val="21"/>
        </w:rPr>
        <w:t>4 员工文体活动照片</w:t>
      </w:r>
    </w:p>
    <w:tbl>
      <w:tblPr>
        <w:tblStyle w:val="89"/>
        <w:tblW w:w="9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0"/>
        <w:gridCol w:w="4570"/>
      </w:tblGrid>
      <w:tr w14:paraId="535A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0" w:type="dxa"/>
          </w:tcPr>
          <w:p w14:paraId="45784409">
            <w:pPr>
              <w:spacing w:line="360" w:lineRule="auto"/>
              <w:ind w:right="325" w:rightChars="155"/>
              <w:jc w:val="center"/>
              <w:rPr>
                <w:rFonts w:hint="eastAsia" w:ascii="宋体" w:hAnsi="宋体" w:eastAsia="宋体"/>
                <w:b/>
                <w:color w:val="000000"/>
                <w:szCs w:val="21"/>
                <w:lang w:eastAsia="zh-CN"/>
              </w:rPr>
            </w:pPr>
            <w:r>
              <w:rPr>
                <w:rFonts w:hint="eastAsia" w:ascii="宋体" w:hAnsi="宋体" w:eastAsia="宋体"/>
                <w:b/>
                <w:color w:val="000000"/>
                <w:szCs w:val="21"/>
                <w:lang w:eastAsia="zh-CN"/>
              </w:rPr>
              <w:drawing>
                <wp:inline distT="0" distB="0" distL="114300" distR="114300">
                  <wp:extent cx="2726690" cy="2045335"/>
                  <wp:effectExtent l="0" t="0" r="16510" b="12065"/>
                  <wp:docPr id="7" name="图片 7" descr="文体活动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文体活动照片"/>
                          <pic:cNvPicPr>
                            <a:picLocks noChangeAspect="1"/>
                          </pic:cNvPicPr>
                        </pic:nvPicPr>
                        <pic:blipFill>
                          <a:blip r:embed="rId18"/>
                          <a:stretch>
                            <a:fillRect/>
                          </a:stretch>
                        </pic:blipFill>
                        <pic:spPr>
                          <a:xfrm>
                            <a:off x="0" y="0"/>
                            <a:ext cx="2726690" cy="2045335"/>
                          </a:xfrm>
                          <a:prstGeom prst="rect">
                            <a:avLst/>
                          </a:prstGeom>
                        </pic:spPr>
                      </pic:pic>
                    </a:graphicData>
                  </a:graphic>
                </wp:inline>
              </w:drawing>
            </w:r>
          </w:p>
        </w:tc>
        <w:tc>
          <w:tcPr>
            <w:tcW w:w="4570" w:type="dxa"/>
          </w:tcPr>
          <w:p w14:paraId="3A50B848">
            <w:pPr>
              <w:spacing w:line="360" w:lineRule="auto"/>
              <w:ind w:right="325" w:rightChars="155"/>
              <w:jc w:val="center"/>
              <w:rPr>
                <w:rFonts w:ascii="宋体" w:hAnsi="宋体"/>
                <w:b/>
                <w:color w:val="000000"/>
                <w:szCs w:val="21"/>
              </w:rPr>
            </w:pPr>
            <w:r>
              <w:rPr>
                <w:b/>
                <w:sz w:val="24"/>
              </w:rPr>
              <w:drawing>
                <wp:inline distT="0" distB="0" distL="0" distR="0">
                  <wp:extent cx="2843530" cy="2132330"/>
                  <wp:effectExtent l="0" t="0" r="1270" b="1270"/>
                  <wp:docPr id="736" name="图片 17" descr="C:\Users\ADMINI~1\AppData\Local\Temp\WeChat Files\d77540d62ae12905be985d528a2dc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图片 17" descr="C:\Users\ADMINI~1\AppData\Local\Temp\WeChat Files\d77540d62ae12905be985d528a2dc4b.jpg"/>
                          <pic:cNvPicPr>
                            <a:picLocks noChangeAspect="1" noChangeArrowheads="1"/>
                          </pic:cNvPicPr>
                        </pic:nvPicPr>
                        <pic:blipFill>
                          <a:blip r:embed="rId19" cstate="print"/>
                          <a:srcRect/>
                          <a:stretch>
                            <a:fillRect/>
                          </a:stretch>
                        </pic:blipFill>
                        <pic:spPr>
                          <a:xfrm>
                            <a:off x="0" y="0"/>
                            <a:ext cx="2843530" cy="2132330"/>
                          </a:xfrm>
                          <a:prstGeom prst="rect">
                            <a:avLst/>
                          </a:prstGeom>
                          <a:noFill/>
                          <a:ln w="9525">
                            <a:noFill/>
                            <a:miter lim="800000"/>
                            <a:headEnd/>
                            <a:tailEnd/>
                          </a:ln>
                        </pic:spPr>
                      </pic:pic>
                    </a:graphicData>
                  </a:graphic>
                </wp:inline>
              </w:drawing>
            </w:r>
          </w:p>
        </w:tc>
      </w:tr>
    </w:tbl>
    <w:p w14:paraId="71022000">
      <w:pPr>
        <w:pStyle w:val="82"/>
        <w:shd w:val="clear" w:color="auto" w:fill="FFFFFF"/>
        <w:spacing w:before="0" w:beforeAutospacing="0" w:after="0" w:afterAutospacing="0" w:line="312" w:lineRule="auto"/>
        <w:ind w:firstLine="420" w:firstLineChars="200"/>
        <w:textAlignment w:val="baseline"/>
        <w:rPr>
          <w:b/>
          <w:color w:val="000000"/>
          <w:sz w:val="21"/>
          <w:szCs w:val="21"/>
        </w:rPr>
      </w:pPr>
      <w:r>
        <w:rPr>
          <w:rFonts w:hint="eastAsia" w:cs="Arial"/>
          <w:bCs/>
          <w:kern w:val="2"/>
          <w:sz w:val="21"/>
          <w:szCs w:val="21"/>
        </w:rPr>
        <w:t>员工关爱方面，公司领导看望生病住院的员工，现场了解员工生病原因、身体恢复情况、家庭困难，及时为员工排忧解难。</w:t>
      </w:r>
      <w:r>
        <w:rPr>
          <w:rFonts w:cs="Arial"/>
          <w:bCs/>
          <w:kern w:val="2"/>
          <w:sz w:val="21"/>
          <w:szCs w:val="21"/>
        </w:rPr>
        <w:t xml:space="preserve"> </w:t>
      </w:r>
    </w:p>
    <w:p w14:paraId="3EEC0CFA">
      <w:pPr>
        <w:pStyle w:val="387"/>
        <w:spacing w:line="312" w:lineRule="auto"/>
        <w:ind w:firstLine="315" w:firstLineChars="150"/>
        <w:rPr>
          <w:rFonts w:asciiTheme="minorEastAsia" w:hAnsiTheme="minorEastAsia" w:eastAsiaTheme="minorEastAsia"/>
          <w:sz w:val="21"/>
        </w:rPr>
      </w:pPr>
      <w:r>
        <w:rPr>
          <w:rFonts w:hint="eastAsia" w:asciiTheme="minorEastAsia" w:hAnsiTheme="minorEastAsia" w:eastAsiaTheme="minorEastAsia"/>
          <w:sz w:val="21"/>
        </w:rPr>
        <w:t>公司在日常运作过程中，非常注重员工抱怨状况，出现员工抱怨，及时协调相关部门了解情况并尽快处理，以消除员工的不满意程度，全身心地投入工作过程中，快乐学习，快乐工作，快乐生活。</w:t>
      </w:r>
    </w:p>
    <w:p w14:paraId="61541003">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另外，公司每年做一次全体的员工满意度调查，统计分析后形成报告，针对性做改进。该工作逐年持续，取得了良好的成效，员工满意度逐年提升。</w:t>
      </w:r>
    </w:p>
    <w:p w14:paraId="79DBC5E5">
      <w:pPr>
        <w:pStyle w:val="387"/>
        <w:spacing w:line="312" w:lineRule="auto"/>
        <w:rPr>
          <w:rFonts w:asciiTheme="minorEastAsia" w:hAnsiTheme="minorEastAsia" w:eastAsiaTheme="minorEastAsia"/>
          <w:sz w:val="28"/>
          <w:szCs w:val="28"/>
        </w:rPr>
      </w:pPr>
      <w:r>
        <w:rPr>
          <w:rFonts w:hint="eastAsia" w:asciiTheme="minorEastAsia" w:hAnsiTheme="minorEastAsia" w:eastAsiaTheme="minorEastAsia"/>
          <w:sz w:val="21"/>
        </w:rPr>
        <w:t>公司坚持“以人为本”，定期召开员工代表座谈会，及时解决员工关心问题；保障员工薪酬增长，持续为员工改善伙食；逐步降低一线员工劳动强度，员工奖惩公开透明，遏制不公；对困难员工给予温暖和人性关怀，如发放困难补助，增强员工对公司认同感和归宿感。</w:t>
      </w:r>
    </w:p>
    <w:p w14:paraId="4ADE3830">
      <w:pPr>
        <w:pStyle w:val="141"/>
        <w:adjustRightInd w:val="0"/>
        <w:spacing w:before="156" w:beforeLines="50" w:line="360" w:lineRule="auto"/>
        <w:ind w:right="325" w:rightChars="155"/>
        <w:outlineLvl w:val="1"/>
        <w:rPr>
          <w:rFonts w:ascii="宋体" w:hAnsi="宋体"/>
          <w:b/>
          <w:sz w:val="24"/>
        </w:rPr>
      </w:pPr>
      <w:bookmarkStart w:id="15" w:name="_Toc1168"/>
      <w:r>
        <w:rPr>
          <w:rFonts w:hint="eastAsia" w:ascii="宋体" w:hAnsi="宋体"/>
          <w:b/>
          <w:sz w:val="24"/>
        </w:rPr>
        <w:t>4、债权人、供应商、顾客等利益相关方的权益保护</w:t>
      </w:r>
      <w:bookmarkEnd w:id="15"/>
    </w:p>
    <w:p w14:paraId="1F3C1275">
      <w:pPr>
        <w:pStyle w:val="82"/>
        <w:shd w:val="clear" w:color="auto" w:fill="FFFFFF"/>
        <w:spacing w:before="0" w:beforeAutospacing="0" w:after="0" w:afterAutospacing="0" w:line="312" w:lineRule="auto"/>
        <w:ind w:firstLine="420" w:firstLineChars="200"/>
        <w:textAlignment w:val="baseline"/>
        <w:rPr>
          <w:rFonts w:cs="Arial"/>
          <w:bCs/>
          <w:kern w:val="2"/>
          <w:sz w:val="21"/>
          <w:szCs w:val="21"/>
        </w:rPr>
      </w:pPr>
      <w:r>
        <w:rPr>
          <w:rFonts w:hint="eastAsia" w:cs="Arial"/>
          <w:bCs/>
          <w:kern w:val="2"/>
          <w:sz w:val="21"/>
          <w:szCs w:val="21"/>
        </w:rPr>
        <w:t>燎原始终尊重债权人、顾客、供方等利益相关者的合法权益，追求相互的平等地位，在经营活动中贯穿“诚信为本”的思想，与债权人、顾客、供方等有关利益相关方建立了良好的合作关系。</w:t>
      </w:r>
    </w:p>
    <w:p w14:paraId="46A56B78">
      <w:pPr>
        <w:pStyle w:val="141"/>
        <w:adjustRightInd w:val="0"/>
        <w:spacing w:line="312" w:lineRule="auto"/>
        <w:ind w:right="325" w:rightChars="155" w:firstLine="422" w:firstLineChars="200"/>
        <w:rPr>
          <w:rFonts w:ascii="宋体" w:hAnsi="宋体"/>
          <w:b/>
          <w:szCs w:val="21"/>
        </w:rPr>
      </w:pPr>
      <w:r>
        <w:rPr>
          <w:rFonts w:hint="eastAsia" w:ascii="宋体" w:hAnsi="宋体"/>
          <w:b/>
          <w:szCs w:val="21"/>
        </w:rPr>
        <w:t>（1）债权人的权益保护</w:t>
      </w:r>
    </w:p>
    <w:p w14:paraId="29702421">
      <w:pPr>
        <w:pStyle w:val="141"/>
        <w:adjustRightInd w:val="0"/>
        <w:spacing w:line="312" w:lineRule="auto"/>
        <w:ind w:right="325" w:rightChars="155" w:firstLine="420" w:firstLineChars="200"/>
        <w:rPr>
          <w:rFonts w:asciiTheme="minorEastAsia" w:hAnsiTheme="minorEastAsia" w:eastAsiaTheme="minorEastAsia"/>
          <w:b/>
          <w:sz w:val="24"/>
        </w:rPr>
      </w:pPr>
      <w:r>
        <w:rPr>
          <w:rFonts w:hint="eastAsia" w:cs="Arial" w:asciiTheme="minorEastAsia" w:hAnsiTheme="minorEastAsia" w:eastAsiaTheme="minorEastAsia"/>
          <w:bCs/>
          <w:szCs w:val="21"/>
        </w:rPr>
        <w:t>公司持续完善内部控制制度，有效发挥风险管理与内部控制评价机制作用，保障公司经营管理合法合规、资产安全。公司保持良好的资信水平，严格按照与银行签订的合同履行债务，按时支付利息、归还本金，及时通报与债权人权益相关的重大信息，维护与各债权人之间的良好合作关系。公司长期维持信用等级为 AA 级。</w:t>
      </w:r>
    </w:p>
    <w:p w14:paraId="0F6AA089">
      <w:pPr>
        <w:pStyle w:val="141"/>
        <w:adjustRightInd w:val="0"/>
        <w:spacing w:line="312" w:lineRule="auto"/>
        <w:ind w:right="325" w:rightChars="155" w:firstLine="422" w:firstLineChars="200"/>
        <w:rPr>
          <w:rFonts w:ascii="宋体" w:hAnsi="宋体"/>
          <w:b/>
          <w:szCs w:val="21"/>
        </w:rPr>
      </w:pPr>
      <w:r>
        <w:rPr>
          <w:rFonts w:hint="eastAsia" w:ascii="宋体" w:hAnsi="宋体"/>
          <w:b/>
          <w:szCs w:val="21"/>
        </w:rPr>
        <w:t>（2）供应商的权益保护</w:t>
      </w:r>
    </w:p>
    <w:p w14:paraId="11BE74D2">
      <w:pPr>
        <w:spacing w:line="312" w:lineRule="auto"/>
        <w:ind w:firstLine="420" w:firstLineChars="200"/>
        <w:rPr>
          <w:szCs w:val="21"/>
        </w:rPr>
      </w:pPr>
      <w:r>
        <w:rPr>
          <w:rFonts w:hint="eastAsia"/>
          <w:szCs w:val="21"/>
        </w:rPr>
        <w:t>公司注</w:t>
      </w:r>
      <w:r>
        <w:rPr>
          <w:szCs w:val="21"/>
        </w:rPr>
        <w:t>重供应链一体化建设，不断完善采购流程与机制，建立公平、公正的评估体系，为供应商创造良好的竞争环境。</w:t>
      </w:r>
      <w:r>
        <w:rPr>
          <w:rFonts w:hint="eastAsia"/>
          <w:szCs w:val="21"/>
        </w:rPr>
        <w:t>公司在供应商的选择上，以品质为首要前提，推行质量评价，划分为A、B、C三类，对产品质量稳定、交付及时、售后服务到位的A类供应商作为公司的主要供货渠道。对质量不稳定、连续出现二批质量不合格的供应商进行降级处理或淘汰出合格供应商名录，停止供货，使供应商不断提高零配件的质量，由被动改进质量变为主动提高质量，确保原辅材料货源的质量稳定。</w:t>
      </w:r>
    </w:p>
    <w:p w14:paraId="3D7D6C8D">
      <w:pPr>
        <w:spacing w:line="312" w:lineRule="auto"/>
        <w:ind w:firstLine="420" w:firstLineChars="200"/>
        <w:rPr>
          <w:szCs w:val="21"/>
        </w:rPr>
      </w:pPr>
      <w:r>
        <w:rPr>
          <w:rFonts w:hint="eastAsia" w:ascii="宋体" w:hAnsi="宋体"/>
          <w:szCs w:val="21"/>
        </w:rPr>
        <w:t>公司适时安排采购部、品管部、技术部和生产部人员到供应商实地调查，在监督供应产品质量的同时，提供技术支持，确保供本公司的产品质量满足要求。</w:t>
      </w:r>
    </w:p>
    <w:p w14:paraId="49952508">
      <w:pPr>
        <w:spacing w:line="312" w:lineRule="auto"/>
        <w:ind w:firstLine="420" w:firstLineChars="200"/>
        <w:rPr>
          <w:rFonts w:ascii="宋体" w:hAnsi="宋体"/>
          <w:szCs w:val="21"/>
        </w:rPr>
      </w:pPr>
      <w:r>
        <w:rPr>
          <w:rFonts w:hint="eastAsia" w:ascii="宋体" w:hAnsi="宋体"/>
          <w:szCs w:val="21"/>
        </w:rPr>
        <w:t>公司严格遵守并履行合同友好协商解决纷争，以保证供应商的合理合法权益。同时发挥自身优势，协助供应商解决生产和工艺问题，实现共进、共享、共赢。公司通过高层互访、供应商审核、电话沟通、邮件沟通、技术交流会等形式，就发展战略、企业文化、业务信息等与供应商开展沟通交流。</w:t>
      </w:r>
    </w:p>
    <w:p w14:paraId="11260605">
      <w:pPr>
        <w:spacing w:line="312" w:lineRule="auto"/>
        <w:ind w:firstLine="420" w:firstLineChars="200"/>
        <w:rPr>
          <w:rFonts w:hAnsi="宋体" w:cs="Arial"/>
          <w:szCs w:val="21"/>
        </w:rPr>
      </w:pPr>
      <w:r>
        <w:rPr>
          <w:rFonts w:hint="eastAsia" w:ascii="宋体" w:hAnsi="宋体"/>
          <w:szCs w:val="21"/>
        </w:rPr>
        <w:t>公司严格履</w:t>
      </w:r>
      <w:r>
        <w:rPr>
          <w:rFonts w:hint="eastAsia" w:asciiTheme="minorEastAsia" w:hAnsiTheme="minorEastAsia" w:eastAsiaTheme="minorEastAsia"/>
          <w:szCs w:val="21"/>
        </w:rPr>
        <w:t>行与供方签订的各类购销合同，按时付款；对主要供应商在技术、管理等方面给予扶持；与核心供货商建立战略合作伙伴关系，保持长期紧密合作关系。</w:t>
      </w:r>
    </w:p>
    <w:p w14:paraId="7162B739">
      <w:pPr>
        <w:pStyle w:val="141"/>
        <w:adjustRightInd w:val="0"/>
        <w:spacing w:line="312" w:lineRule="auto"/>
        <w:ind w:right="325" w:rightChars="155" w:firstLine="422" w:firstLineChars="200"/>
        <w:rPr>
          <w:rFonts w:ascii="宋体" w:hAnsi="宋体"/>
          <w:b/>
          <w:szCs w:val="21"/>
        </w:rPr>
      </w:pPr>
      <w:r>
        <w:rPr>
          <w:rFonts w:hint="eastAsia" w:ascii="宋体" w:hAnsi="宋体"/>
          <w:b/>
          <w:szCs w:val="21"/>
        </w:rPr>
        <w:t>（3）顾客的权益保护</w:t>
      </w:r>
    </w:p>
    <w:p w14:paraId="61B738C3">
      <w:pPr>
        <w:autoSpaceDE w:val="0"/>
        <w:autoSpaceDN w:val="0"/>
        <w:adjustRightInd w:val="0"/>
        <w:spacing w:line="312" w:lineRule="auto"/>
        <w:ind w:firstLine="480"/>
        <w:jc w:val="left"/>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bCs/>
          <w:szCs w:val="21"/>
        </w:rPr>
        <w:t>公司坚持为客户提供一流的产品品质，</w:t>
      </w:r>
      <w:r>
        <w:rPr>
          <w:rFonts w:hint="eastAsia" w:asciiTheme="minorEastAsia" w:hAnsiTheme="minorEastAsia" w:eastAsiaTheme="minorEastAsia" w:cstheme="minorEastAsia"/>
          <w:color w:val="000000"/>
          <w:kern w:val="0"/>
          <w:szCs w:val="21"/>
        </w:rPr>
        <w:t>公司已建立了完备的质量控制体系，具有完整的产品试验、检验、测试等设施，并设有专门的产品测试中心和品质管理部门，对产品的测试、检验和产品质量进行严格的监督检查，保证产品质量安全。同时，公司在生产工艺技术、生产装备水平、生产过程控制、检验测试手段、清洁生产等方面都在行业处于中上地位，为稳定和提高产品质量提供了强有力的保证。</w:t>
      </w:r>
    </w:p>
    <w:p w14:paraId="74EC44C8">
      <w:pPr>
        <w:pStyle w:val="2"/>
        <w:spacing w:after="0" w:line="312" w:lineRule="auto"/>
        <w:ind w:left="0" w:leftChars="0"/>
        <w:rPr>
          <w:rFonts w:asciiTheme="minorEastAsia" w:hAnsiTheme="minorEastAsia" w:eastAsiaTheme="minorEastAsia" w:cstheme="minorEastAsia"/>
          <w:sz w:val="21"/>
          <w:szCs w:val="21"/>
          <w:u w:val="none"/>
        </w:rPr>
      </w:pPr>
      <w:r>
        <w:rPr>
          <w:rFonts w:hint="eastAsia" w:asciiTheme="minorEastAsia" w:hAnsiTheme="minorEastAsia" w:eastAsiaTheme="minorEastAsia" w:cstheme="minorEastAsia"/>
          <w:bCs/>
          <w:sz w:val="21"/>
          <w:szCs w:val="21"/>
          <w:u w:val="none"/>
        </w:rPr>
        <w:t>公司特别强调质量保证部门在生产过程中举足轻重的作用，产品质量管理严格按照ISO9001要求</w:t>
      </w:r>
      <w:r>
        <w:rPr>
          <w:rFonts w:hint="eastAsia" w:asciiTheme="minorEastAsia" w:hAnsiTheme="minorEastAsia" w:eastAsiaTheme="minorEastAsia" w:cstheme="minorEastAsia"/>
          <w:sz w:val="21"/>
          <w:szCs w:val="21"/>
          <w:u w:val="none"/>
        </w:rPr>
        <w:t>，责任明确，措施到位。经过不断的调整生产工艺，其产品质量远远高于同类产品。</w:t>
      </w:r>
    </w:p>
    <w:p w14:paraId="05CE07B8">
      <w:pPr>
        <w:pStyle w:val="2"/>
        <w:spacing w:after="0" w:line="312" w:lineRule="auto"/>
        <w:ind w:left="0" w:leftChars="0"/>
        <w:rPr>
          <w:rFonts w:asciiTheme="minorEastAsia" w:hAnsiTheme="minorEastAsia" w:eastAsiaTheme="minorEastAsia" w:cstheme="minorEastAsia"/>
          <w:sz w:val="21"/>
          <w:szCs w:val="21"/>
          <w:u w:val="none"/>
        </w:rPr>
      </w:pPr>
      <w:r>
        <w:rPr>
          <w:rFonts w:hint="eastAsia" w:asciiTheme="minorEastAsia" w:hAnsiTheme="minorEastAsia" w:eastAsiaTheme="minorEastAsia" w:cstheme="minorEastAsia"/>
          <w:sz w:val="21"/>
          <w:szCs w:val="21"/>
          <w:u w:val="none"/>
        </w:rPr>
        <w:t>通过满意度调查、现场走访、客情维护、服务专线等方式建立快速响应机制与完善的服务体系，公司根据客户等级，对于重点客户专人负责对接。公司一直致力于售后服务网络建设，提高客户满意度，并一直将售后服务网络建设放在战略性高度，明确提出了“诚实、诚恳、诚信”的经营信条、“质量第一、信誉至上、以人为本、开拓创新”的经营宗旨和“恪守质量第一，追求管理创新”的质量方针。</w:t>
      </w:r>
      <w:r>
        <w:rPr>
          <w:rFonts w:hint="eastAsia" w:asciiTheme="minorEastAsia" w:hAnsiTheme="minorEastAsia" w:eastAsiaTheme="minorEastAsia"/>
          <w:sz w:val="21"/>
          <w:szCs w:val="21"/>
          <w:u w:val="none"/>
        </w:rPr>
        <w:t>公司专门成立品管部负责对产品质量、客户投诉等进行管理，填写《售后服务记录表》，还向客户提供《售后服务承诺函》，</w:t>
      </w:r>
      <w:r>
        <w:rPr>
          <w:rFonts w:hint="eastAsia" w:asciiTheme="minorEastAsia" w:hAnsiTheme="minorEastAsia" w:eastAsiaTheme="minorEastAsia" w:cstheme="minorEastAsia"/>
          <w:sz w:val="21"/>
          <w:szCs w:val="21"/>
          <w:u w:val="none"/>
        </w:rPr>
        <w:t>并将它作为今后营销和售后服务活动中必须遵守的规范，完善售前、售中和售后服务，推进客户满意度。公司还逐步完善了“三包”制度、“缺陷产品召回制度”等，是用户买的放心，用的安心。</w:t>
      </w:r>
    </w:p>
    <w:p w14:paraId="7237F2EB">
      <w:pPr>
        <w:pStyle w:val="2"/>
        <w:spacing w:after="0" w:line="312" w:lineRule="auto"/>
        <w:ind w:left="0" w:leftChars="0"/>
        <w:rPr>
          <w:rFonts w:asciiTheme="minorEastAsia" w:hAnsiTheme="minorEastAsia" w:eastAsiaTheme="minorEastAsia" w:cstheme="minorEastAsia"/>
          <w:sz w:val="21"/>
          <w:szCs w:val="21"/>
          <w:u w:val="none"/>
        </w:rPr>
      </w:pPr>
      <w:r>
        <w:rPr>
          <w:rFonts w:hint="eastAsia" w:asciiTheme="minorEastAsia" w:hAnsiTheme="minorEastAsia" w:eastAsiaTheme="minorEastAsia" w:cstheme="minorEastAsia"/>
          <w:sz w:val="21"/>
          <w:szCs w:val="21"/>
          <w:u w:val="none"/>
        </w:rPr>
        <w:t>公司注重企业管理、科技进步和技术创新，培养并拥有专职的检验员5名，拥有多名中级以上职称人员。公司每年将一定的经费预算用于科研开发，高标准的设备配置，高素质的人才队伍、高强度的经费投入和科研院所的大力支持。公司以卓越的品质、高价格性能比的产品与服务，与顾客实现双赢。</w:t>
      </w:r>
    </w:p>
    <w:p w14:paraId="2BBC14B3">
      <w:pPr>
        <w:pStyle w:val="2"/>
        <w:spacing w:after="0" w:line="312" w:lineRule="auto"/>
        <w:ind w:left="0" w:leftChars="0"/>
        <w:rPr>
          <w:rFonts w:asciiTheme="minorEastAsia" w:hAnsiTheme="minorEastAsia" w:eastAsiaTheme="minorEastAsia" w:cstheme="minorEastAsia"/>
          <w:sz w:val="21"/>
          <w:szCs w:val="21"/>
          <w:u w:val="none"/>
        </w:rPr>
      </w:pPr>
      <w:r>
        <w:rPr>
          <w:rFonts w:hint="eastAsia" w:asciiTheme="minorEastAsia" w:hAnsiTheme="minorEastAsia" w:eastAsiaTheme="minorEastAsia" w:cstheme="minorEastAsia"/>
          <w:sz w:val="21"/>
          <w:szCs w:val="21"/>
          <w:u w:val="none"/>
        </w:rPr>
        <w:t>公司一直关注顾客满意度情况，每年通过问卷调查和会议等途径，全方位收集顾客满意度信息并听取顾客意见，定期整理和总结相关信息，及时反馈到各职能部门，用于新产品开发以及质量和服务的改进。</w:t>
      </w:r>
    </w:p>
    <w:p w14:paraId="50C14BB3">
      <w:pPr>
        <w:pStyle w:val="141"/>
        <w:adjustRightInd w:val="0"/>
        <w:spacing w:line="312" w:lineRule="auto"/>
        <w:ind w:right="325" w:rightChars="155" w:firstLine="422" w:firstLineChars="200"/>
        <w:rPr>
          <w:rFonts w:ascii="宋体" w:hAnsi="宋体"/>
          <w:b/>
          <w:szCs w:val="21"/>
        </w:rPr>
      </w:pPr>
      <w:r>
        <w:rPr>
          <w:rFonts w:hint="eastAsia" w:ascii="宋体" w:hAnsi="宋体"/>
          <w:b/>
          <w:szCs w:val="21"/>
        </w:rPr>
        <w:t>（4）政府的权益保护</w:t>
      </w:r>
    </w:p>
    <w:p w14:paraId="78398101">
      <w:pPr>
        <w:pStyle w:val="141"/>
        <w:adjustRightInd w:val="0"/>
        <w:spacing w:line="312" w:lineRule="auto"/>
        <w:ind w:firstLine="420" w:firstLineChars="200"/>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公司自成立以来，严格遵守国家各项税收法律法规，制定了公司各类费用申报、审批、报销等相关财务制度及流程，不断规范纳税管理工作及提高财务管理水平。依法按章纳税，及时足额缴纳税款，对纳税工作进行专人管理，对财务人员进行培训，提升纳税意识、业务素质和管理水平，确保纳税工作依法、有序开展。</w:t>
      </w:r>
    </w:p>
    <w:p w14:paraId="08B97DC2">
      <w:pPr>
        <w:pStyle w:val="141"/>
        <w:adjustRightInd w:val="0"/>
        <w:spacing w:before="156" w:beforeLines="50" w:line="360" w:lineRule="auto"/>
        <w:ind w:right="325" w:rightChars="155"/>
        <w:outlineLvl w:val="1"/>
        <w:rPr>
          <w:rFonts w:ascii="宋体" w:hAnsi="宋体"/>
          <w:b/>
          <w:sz w:val="24"/>
        </w:rPr>
      </w:pPr>
      <w:bookmarkStart w:id="16" w:name="_Toc26720"/>
      <w:r>
        <w:rPr>
          <w:rFonts w:hint="eastAsia" w:ascii="宋体" w:hAnsi="宋体"/>
          <w:b/>
          <w:sz w:val="24"/>
        </w:rPr>
        <w:t>5、环境保护</w:t>
      </w:r>
      <w:r>
        <w:rPr>
          <w:rFonts w:ascii="宋体" w:hAnsi="宋体"/>
          <w:b/>
          <w:sz w:val="24"/>
        </w:rPr>
        <w:t>和可持续发展</w:t>
      </w:r>
      <w:bookmarkEnd w:id="16"/>
    </w:p>
    <w:p w14:paraId="1BA11F28">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在环境保护上，公司十分重视环境保护和污染防治工作，从源头抓起，实施清洁生产，控制和减少污染物排放。</w:t>
      </w:r>
    </w:p>
    <w:p w14:paraId="0FFE988D">
      <w:pPr>
        <w:spacing w:line="300" w:lineRule="auto"/>
        <w:ind w:firstLine="570"/>
        <w:rPr>
          <w:szCs w:val="21"/>
        </w:rPr>
      </w:pPr>
      <w:r>
        <w:rPr>
          <w:rFonts w:hint="eastAsia" w:ascii="宋体" w:hAnsi="宋体" w:cs="宋体"/>
          <w:szCs w:val="21"/>
        </w:rPr>
        <w:t>（1）</w:t>
      </w:r>
      <w:r>
        <w:rPr>
          <w:rFonts w:hint="eastAsia"/>
          <w:szCs w:val="21"/>
        </w:rPr>
        <w:t>噪声的防治</w:t>
      </w:r>
    </w:p>
    <w:p w14:paraId="364D5622">
      <w:pPr>
        <w:spacing w:line="300" w:lineRule="auto"/>
        <w:ind w:firstLine="570"/>
        <w:rPr>
          <w:szCs w:val="21"/>
        </w:rPr>
      </w:pPr>
      <w:r>
        <w:rPr>
          <w:rFonts w:hint="eastAsia"/>
          <w:szCs w:val="21"/>
        </w:rPr>
        <w:t xml:space="preserve"> ① 采用先进的工艺设备，不采购设备噪声高于标准85dB（A）的工艺设备。并把噪声较大的设备如铜导体加工设备布置在厂区中央，经墙壁隔声及距离衰减后可使厂界噪声低于65dB（A）。</w:t>
      </w:r>
    </w:p>
    <w:p w14:paraId="14AE6738">
      <w:pPr>
        <w:spacing w:line="300" w:lineRule="auto"/>
        <w:ind w:firstLine="570"/>
        <w:rPr>
          <w:szCs w:val="21"/>
          <w:highlight w:val="green"/>
        </w:rPr>
      </w:pPr>
      <w:r>
        <w:rPr>
          <w:rFonts w:hint="eastAsia"/>
          <w:szCs w:val="21"/>
        </w:rPr>
        <w:t xml:space="preserve"> ②电缆单根铜丝直径在0.68mm以下的导电线芯采用束绞工艺，以束代绞除可提高生产效率以外，还可大大降低设备噪声。</w:t>
      </w:r>
    </w:p>
    <w:p w14:paraId="341D9FF4">
      <w:pPr>
        <w:spacing w:line="300" w:lineRule="auto"/>
        <w:ind w:firstLine="570"/>
        <w:rPr>
          <w:szCs w:val="21"/>
        </w:rPr>
      </w:pPr>
      <w:r>
        <w:rPr>
          <w:rFonts w:hint="eastAsia"/>
          <w:szCs w:val="21"/>
        </w:rPr>
        <w:t>③ 加强设备维护管理，使设备噪声低于国家规定的标准。</w:t>
      </w:r>
    </w:p>
    <w:p w14:paraId="2D6AB60B">
      <w:pPr>
        <w:spacing w:line="300" w:lineRule="auto"/>
        <w:ind w:firstLine="570"/>
        <w:rPr>
          <w:szCs w:val="21"/>
        </w:rPr>
      </w:pPr>
      <w:r>
        <w:rPr>
          <w:rFonts w:hint="eastAsia"/>
          <w:szCs w:val="21"/>
        </w:rPr>
        <w:t>④ 加强厂区和车间周围绿化，吸收部分噪声。</w:t>
      </w:r>
    </w:p>
    <w:p w14:paraId="6D322121">
      <w:pPr>
        <w:spacing w:line="300" w:lineRule="auto"/>
        <w:ind w:firstLine="420" w:firstLineChars="200"/>
        <w:rPr>
          <w:szCs w:val="21"/>
        </w:rPr>
      </w:pPr>
      <w:r>
        <w:rPr>
          <w:rFonts w:hint="eastAsia" w:ascii="宋体" w:hAnsi="宋体" w:cs="宋体"/>
          <w:szCs w:val="21"/>
        </w:rPr>
        <w:t>（2）</w:t>
      </w:r>
      <w:r>
        <w:rPr>
          <w:rFonts w:hint="eastAsia"/>
          <w:szCs w:val="21"/>
        </w:rPr>
        <w:t>废液的防治</w:t>
      </w:r>
    </w:p>
    <w:p w14:paraId="313ECEBA">
      <w:pPr>
        <w:spacing w:line="300" w:lineRule="auto"/>
        <w:ind w:firstLine="570"/>
        <w:rPr>
          <w:szCs w:val="21"/>
        </w:rPr>
      </w:pPr>
      <w:r>
        <w:rPr>
          <w:rFonts w:hint="eastAsia"/>
          <w:szCs w:val="21"/>
        </w:rPr>
        <w:t xml:space="preserve">① 拉丝机在生产过程中使用润滑液循环使用，并装有滤纸将铜粉滤出，回收，不会污染周围环境。乳浊液约一年更换一次，废乳浊液交由有资质的危废处置单位处置。 </w:t>
      </w:r>
    </w:p>
    <w:p w14:paraId="645DDF55">
      <w:pPr>
        <w:spacing w:line="300" w:lineRule="auto"/>
        <w:ind w:firstLine="570"/>
        <w:rPr>
          <w:szCs w:val="21"/>
        </w:rPr>
      </w:pPr>
      <w:r>
        <w:rPr>
          <w:rFonts w:hint="eastAsia"/>
          <w:szCs w:val="21"/>
        </w:rPr>
        <w:t>② 拉丝、绝缘、护层挤出工序生产过程中，采用的冷却水内无任何有害物质，而且循环使用，不外排，也不会污染周围环境。</w:t>
      </w:r>
    </w:p>
    <w:p w14:paraId="539CE3C6">
      <w:pPr>
        <w:spacing w:line="300" w:lineRule="auto"/>
        <w:ind w:firstLine="570"/>
        <w:rPr>
          <w:szCs w:val="21"/>
        </w:rPr>
      </w:pPr>
      <w:r>
        <w:rPr>
          <w:rFonts w:hint="eastAsia"/>
          <w:szCs w:val="21"/>
        </w:rPr>
        <w:t>③ 生产污水和生活污水经过预处理后达到纳网标准，经专用管道接入污水处理站管网对排放的污水进行处理。</w:t>
      </w:r>
    </w:p>
    <w:p w14:paraId="6B91C88C">
      <w:pPr>
        <w:spacing w:line="300" w:lineRule="auto"/>
        <w:ind w:firstLine="420" w:firstLineChars="200"/>
        <w:rPr>
          <w:szCs w:val="21"/>
        </w:rPr>
      </w:pPr>
      <w:r>
        <w:rPr>
          <w:rFonts w:hint="eastAsia" w:ascii="宋体" w:hAnsi="宋体" w:cs="宋体"/>
          <w:szCs w:val="21"/>
        </w:rPr>
        <w:t>（3）</w:t>
      </w:r>
      <w:r>
        <w:rPr>
          <w:rFonts w:hint="eastAsia"/>
          <w:szCs w:val="21"/>
        </w:rPr>
        <w:t xml:space="preserve">废气的防治 </w:t>
      </w:r>
    </w:p>
    <w:p w14:paraId="705B99EA">
      <w:pPr>
        <w:spacing w:line="300" w:lineRule="auto"/>
        <w:ind w:firstLine="570"/>
        <w:rPr>
          <w:szCs w:val="21"/>
        </w:rPr>
      </w:pPr>
      <w:r>
        <w:rPr>
          <w:rFonts w:hint="eastAsia"/>
          <w:szCs w:val="21"/>
        </w:rPr>
        <w:t>严格控制挤出温度，挤出加工的工艺尾气经机头上方的吸风罩收集过滤后抽到厂房外。</w:t>
      </w:r>
    </w:p>
    <w:p w14:paraId="20C59E32">
      <w:pPr>
        <w:spacing w:line="300" w:lineRule="auto"/>
        <w:ind w:firstLine="420" w:firstLineChars="200"/>
        <w:rPr>
          <w:szCs w:val="21"/>
        </w:rPr>
      </w:pPr>
      <w:r>
        <w:rPr>
          <w:rFonts w:hint="eastAsia" w:ascii="宋体" w:hAnsi="宋体" w:cs="宋体"/>
          <w:szCs w:val="21"/>
        </w:rPr>
        <w:t>（4）</w:t>
      </w:r>
      <w:r>
        <w:rPr>
          <w:rFonts w:hint="eastAsia"/>
          <w:szCs w:val="21"/>
        </w:rPr>
        <w:t>固体废弃物的处理</w:t>
      </w:r>
    </w:p>
    <w:p w14:paraId="4E4DF7DE">
      <w:pPr>
        <w:spacing w:line="300" w:lineRule="auto"/>
        <w:ind w:firstLine="570"/>
        <w:rPr>
          <w:szCs w:val="21"/>
        </w:rPr>
      </w:pPr>
      <w:r>
        <w:rPr>
          <w:rFonts w:hint="eastAsia"/>
          <w:szCs w:val="21"/>
        </w:rPr>
        <w:t>在电缆生产过程中产生的废铜丝、废塑料等均可回收利用，危险废弃物交由有资质的处理单位集中处置。</w:t>
      </w:r>
    </w:p>
    <w:p w14:paraId="24A3C2D6">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公司严格按照ISO14001环境管理体系标准的要求，完善公司环境管理基础框架，近年来，公司确保公司产生的噪声、废水、废气达标排放，对生产设备运行时可能对周边产生的噪声，除在厂区内安装防震基础，设备局部加隔音罩外，在厂界安装隔声墙，有效加强“三废”管理。</w:t>
      </w:r>
    </w:p>
    <w:p w14:paraId="09A295A3">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 xml:space="preserve">在能源节约、资源综合利用方面，公司将其作为对社会负责和降低企业成本的一项重要工作来抓，一是从技术上加快产品开发，实现企业自身及全社会的节能；二是淘汰了所有能耗大的落后机床设备，采用高新、节能、环保设备。 </w:t>
      </w:r>
    </w:p>
    <w:p w14:paraId="36559273">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公司全面落实科学发展观，努力构建资源节约型、环境友好型企业。燎原致力于管理、技术、工艺创新，引进先进生产设备，为实现公司总战略发展要求，满足不断变化的顾客、市场和各相关方的需求，提高劳动生产率，降低劳动生产成本，生产部每年根据公司的总体规划和生产的技术需求对技术进行改进。公司近年来主要进行的基础设施技术改造项目清单如下表。</w:t>
      </w:r>
    </w:p>
    <w:p w14:paraId="614F39A1">
      <w:pPr>
        <w:spacing w:before="156" w:beforeLines="50"/>
        <w:jc w:val="center"/>
        <w:rPr>
          <w:rFonts w:ascii="宋体" w:hAnsi="宋体" w:cs="宋体"/>
          <w:b/>
          <w:color w:val="0000FF"/>
          <w:szCs w:val="21"/>
        </w:rPr>
      </w:pPr>
      <w:r>
        <w:rPr>
          <w:rFonts w:hint="eastAsia" w:ascii="宋体" w:hAnsi="宋体" w:cs="宋体"/>
          <w:b/>
          <w:color w:val="auto"/>
          <w:szCs w:val="21"/>
        </w:rPr>
        <w:t>图表16 车间部分改造项目清单</w:t>
      </w:r>
    </w:p>
    <w:tbl>
      <w:tblPr>
        <w:tblStyle w:val="89"/>
        <w:tblW w:w="8774" w:type="dxa"/>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1709"/>
        <w:gridCol w:w="1572"/>
        <w:gridCol w:w="1413"/>
        <w:gridCol w:w="4080"/>
      </w:tblGrid>
      <w:tr w14:paraId="7C38072F">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709" w:type="dxa"/>
            <w:shd w:val="clear" w:color="auto" w:fill="DBE5F1" w:themeFill="accent1" w:themeFillTint="33"/>
            <w:vAlign w:val="center"/>
          </w:tcPr>
          <w:p w14:paraId="2E63A997">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改造项目</w:t>
            </w:r>
          </w:p>
        </w:tc>
        <w:tc>
          <w:tcPr>
            <w:tcW w:w="1572" w:type="dxa"/>
            <w:shd w:val="clear" w:color="auto" w:fill="DBE5F1" w:themeFill="accent1" w:themeFillTint="33"/>
            <w:vAlign w:val="center"/>
          </w:tcPr>
          <w:p w14:paraId="498F0F38">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时间</w:t>
            </w:r>
          </w:p>
        </w:tc>
        <w:tc>
          <w:tcPr>
            <w:tcW w:w="1413" w:type="dxa"/>
            <w:shd w:val="clear" w:color="auto" w:fill="DBE5F1" w:themeFill="accent1" w:themeFillTint="33"/>
            <w:vAlign w:val="center"/>
          </w:tcPr>
          <w:p w14:paraId="4741227E">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投入金额</w:t>
            </w:r>
          </w:p>
        </w:tc>
        <w:tc>
          <w:tcPr>
            <w:tcW w:w="4080" w:type="dxa"/>
            <w:shd w:val="clear" w:color="auto" w:fill="DBE5F1" w:themeFill="accent1" w:themeFillTint="33"/>
            <w:vAlign w:val="center"/>
          </w:tcPr>
          <w:p w14:paraId="06F53DB6">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改造内容</w:t>
            </w:r>
          </w:p>
        </w:tc>
      </w:tr>
      <w:tr w14:paraId="274F0FCA">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709" w:type="dxa"/>
            <w:vAlign w:val="center"/>
          </w:tcPr>
          <w:p w14:paraId="36AC8E48">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中压电缆的技术改造</w:t>
            </w:r>
          </w:p>
        </w:tc>
        <w:tc>
          <w:tcPr>
            <w:tcW w:w="1572" w:type="dxa"/>
            <w:vAlign w:val="center"/>
          </w:tcPr>
          <w:p w14:paraId="5132BCBB">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202</w:t>
            </w:r>
            <w:r>
              <w:rPr>
                <w:rFonts w:hint="eastAsia" w:asciiTheme="minorEastAsia" w:hAnsiTheme="minorEastAsia" w:eastAsiaTheme="minorEastAsia"/>
                <w:sz w:val="21"/>
                <w:lang w:val="en-US" w:eastAsia="zh-CN"/>
              </w:rPr>
              <w:t>3</w:t>
            </w:r>
            <w:bookmarkStart w:id="24" w:name="_GoBack"/>
            <w:bookmarkEnd w:id="24"/>
            <w:r>
              <w:rPr>
                <w:rFonts w:hint="eastAsia" w:asciiTheme="minorEastAsia" w:hAnsiTheme="minorEastAsia" w:eastAsiaTheme="minorEastAsia"/>
                <w:sz w:val="21"/>
              </w:rPr>
              <w:t>年8月-</w:t>
            </w:r>
            <w:r>
              <w:rPr>
                <w:rFonts w:hint="eastAsia" w:asciiTheme="minorEastAsia" w:hAnsiTheme="minorEastAsia" w:eastAsiaTheme="minorEastAsia"/>
                <w:sz w:val="21"/>
                <w:lang w:eastAsia="zh-CN"/>
              </w:rPr>
              <w:t>20</w:t>
            </w:r>
            <w:r>
              <w:rPr>
                <w:rFonts w:hint="eastAsia" w:asciiTheme="minorEastAsia" w:hAnsiTheme="minorEastAsia" w:eastAsiaTheme="minorEastAsia"/>
                <w:sz w:val="21"/>
                <w:lang w:val="en-US" w:eastAsia="zh-CN"/>
              </w:rPr>
              <w:t>26</w:t>
            </w:r>
            <w:r>
              <w:rPr>
                <w:rFonts w:hint="eastAsia" w:asciiTheme="minorEastAsia" w:hAnsiTheme="minorEastAsia" w:eastAsiaTheme="minorEastAsia"/>
                <w:sz w:val="21"/>
              </w:rPr>
              <w:t>年8月</w:t>
            </w:r>
          </w:p>
        </w:tc>
        <w:tc>
          <w:tcPr>
            <w:tcW w:w="1413" w:type="dxa"/>
            <w:vAlign w:val="center"/>
          </w:tcPr>
          <w:p w14:paraId="594302C6">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1050万元</w:t>
            </w:r>
          </w:p>
        </w:tc>
        <w:tc>
          <w:tcPr>
            <w:tcW w:w="4080" w:type="dxa"/>
            <w:vAlign w:val="center"/>
          </w:tcPr>
          <w:p w14:paraId="1DEF38BB">
            <w:pPr>
              <w:pStyle w:val="387"/>
              <w:spacing w:line="240" w:lineRule="auto"/>
              <w:ind w:firstLine="0" w:firstLineChars="0"/>
              <w:jc w:val="center"/>
              <w:rPr>
                <w:rFonts w:asciiTheme="minorEastAsia" w:hAnsiTheme="minorEastAsia" w:eastAsiaTheme="minorEastAsia"/>
                <w:sz w:val="21"/>
                <w:highlight w:val="green"/>
              </w:rPr>
            </w:pPr>
            <w:r>
              <w:rPr>
                <w:rFonts w:hint="eastAsia" w:asciiTheme="minorEastAsia" w:hAnsiTheme="minorEastAsia" w:eastAsiaTheme="minorEastAsia"/>
                <w:sz w:val="21"/>
              </w:rPr>
              <w:t>年产26.5万米的中压电缆的技术改造</w:t>
            </w:r>
          </w:p>
        </w:tc>
      </w:tr>
    </w:tbl>
    <w:p w14:paraId="45E5F67C">
      <w:pPr>
        <w:spacing w:before="156" w:beforeLines="50" w:line="312" w:lineRule="auto"/>
        <w:ind w:firstLine="420" w:firstLineChars="200"/>
        <w:jc w:val="left"/>
        <w:outlineLvl w:val="1"/>
        <w:rPr>
          <w:rFonts w:cs="Arial"/>
          <w:bCs/>
          <w:szCs w:val="21"/>
        </w:rPr>
      </w:pPr>
      <w:bookmarkStart w:id="17" w:name="_Toc20596"/>
      <w:r>
        <w:rPr>
          <w:rFonts w:hint="eastAsia"/>
          <w:szCs w:val="21"/>
        </w:rPr>
        <w:t>为</w:t>
      </w:r>
      <w:r>
        <w:rPr>
          <w:szCs w:val="21"/>
        </w:rPr>
        <w:t>确保</w:t>
      </w:r>
      <w:r>
        <w:rPr>
          <w:rFonts w:hint="eastAsia"/>
          <w:szCs w:val="21"/>
        </w:rPr>
        <w:t>良</w:t>
      </w:r>
      <w:r>
        <w:rPr>
          <w:szCs w:val="21"/>
        </w:rPr>
        <w:t>好的工作环境</w:t>
      </w:r>
      <w:r>
        <w:rPr>
          <w:rFonts w:hint="eastAsia"/>
          <w:szCs w:val="21"/>
        </w:rPr>
        <w:t>、</w:t>
      </w:r>
      <w:r>
        <w:rPr>
          <w:szCs w:val="21"/>
        </w:rPr>
        <w:t>产</w:t>
      </w:r>
      <w:r>
        <w:rPr>
          <w:rFonts w:hint="eastAsia"/>
          <w:szCs w:val="21"/>
        </w:rPr>
        <w:t>品</w:t>
      </w:r>
      <w:r>
        <w:rPr>
          <w:szCs w:val="21"/>
        </w:rPr>
        <w:t>质量</w:t>
      </w:r>
      <w:r>
        <w:rPr>
          <w:rFonts w:hint="eastAsia"/>
          <w:szCs w:val="21"/>
        </w:rPr>
        <w:t>及</w:t>
      </w:r>
      <w:r>
        <w:rPr>
          <w:szCs w:val="21"/>
        </w:rPr>
        <w:t>生产</w:t>
      </w:r>
      <w:r>
        <w:rPr>
          <w:rFonts w:hint="eastAsia"/>
          <w:szCs w:val="21"/>
        </w:rPr>
        <w:t>安全</w:t>
      </w:r>
      <w:r>
        <w:rPr>
          <w:szCs w:val="21"/>
        </w:rPr>
        <w:t>，</w:t>
      </w:r>
      <w:r>
        <w:rPr>
          <w:rFonts w:hint="eastAsia"/>
          <w:szCs w:val="21"/>
        </w:rPr>
        <w:t>对</w:t>
      </w:r>
      <w:r>
        <w:rPr>
          <w:szCs w:val="21"/>
        </w:rPr>
        <w:t>运行环境</w:t>
      </w:r>
      <w:r>
        <w:rPr>
          <w:rFonts w:hint="eastAsia"/>
          <w:szCs w:val="21"/>
        </w:rPr>
        <w:t>管理</w:t>
      </w:r>
      <w:r>
        <w:rPr>
          <w:szCs w:val="21"/>
        </w:rPr>
        <w:t>进行规范</w:t>
      </w:r>
      <w:r>
        <w:rPr>
          <w:rFonts w:hint="eastAsia"/>
          <w:szCs w:val="21"/>
        </w:rPr>
        <w:t>要求</w:t>
      </w:r>
      <w:r>
        <w:rPr>
          <w:szCs w:val="21"/>
        </w:rPr>
        <w:t>，</w:t>
      </w:r>
      <w:r>
        <w:rPr>
          <w:rFonts w:hint="eastAsia"/>
          <w:szCs w:val="21"/>
        </w:rPr>
        <w:t>使</w:t>
      </w:r>
      <w:r>
        <w:rPr>
          <w:szCs w:val="21"/>
        </w:rPr>
        <w:t>车间</w:t>
      </w:r>
      <w:r>
        <w:rPr>
          <w:rFonts w:hint="eastAsia"/>
          <w:szCs w:val="21"/>
        </w:rPr>
        <w:t>保持</w:t>
      </w:r>
      <w:r>
        <w:rPr>
          <w:szCs w:val="21"/>
        </w:rPr>
        <w:t>足够的通风环境及采光照明，车间</w:t>
      </w:r>
      <w:r>
        <w:rPr>
          <w:rFonts w:hint="eastAsia"/>
          <w:szCs w:val="21"/>
        </w:rPr>
        <w:t>温湿度</w:t>
      </w:r>
      <w:r>
        <w:rPr>
          <w:szCs w:val="21"/>
        </w:rPr>
        <w:t>与生产工艺</w:t>
      </w:r>
      <w:r>
        <w:rPr>
          <w:rFonts w:hint="eastAsia"/>
          <w:szCs w:val="21"/>
        </w:rPr>
        <w:t>要求</w:t>
      </w:r>
      <w:r>
        <w:rPr>
          <w:szCs w:val="21"/>
        </w:rPr>
        <w:t>相适应，</w:t>
      </w:r>
      <w:r>
        <w:rPr>
          <w:rFonts w:hint="eastAsia"/>
          <w:szCs w:val="21"/>
        </w:rPr>
        <w:t>合理</w:t>
      </w:r>
      <w:r>
        <w:rPr>
          <w:szCs w:val="21"/>
        </w:rPr>
        <w:t>布置生产装置，</w:t>
      </w:r>
      <w:r>
        <w:rPr>
          <w:rFonts w:hint="eastAsia"/>
          <w:szCs w:val="21"/>
        </w:rPr>
        <w:t>通道</w:t>
      </w:r>
      <w:r>
        <w:rPr>
          <w:szCs w:val="21"/>
        </w:rPr>
        <w:t>畅通无</w:t>
      </w:r>
      <w:r>
        <w:rPr>
          <w:rFonts w:hint="eastAsia"/>
          <w:szCs w:val="21"/>
        </w:rPr>
        <w:t>堵塞</w:t>
      </w:r>
      <w:r>
        <w:rPr>
          <w:szCs w:val="21"/>
        </w:rPr>
        <w:t>，</w:t>
      </w:r>
      <w:r>
        <w:rPr>
          <w:rFonts w:hint="eastAsia"/>
          <w:szCs w:val="21"/>
        </w:rPr>
        <w:t>地面</w:t>
      </w:r>
      <w:r>
        <w:rPr>
          <w:szCs w:val="21"/>
        </w:rPr>
        <w:t>无</w:t>
      </w:r>
      <w:r>
        <w:rPr>
          <w:rFonts w:hint="eastAsia"/>
          <w:szCs w:val="21"/>
        </w:rPr>
        <w:t>积水</w:t>
      </w:r>
      <w:r>
        <w:rPr>
          <w:szCs w:val="21"/>
        </w:rPr>
        <w:t>，设备无渗漏</w:t>
      </w:r>
      <w:r>
        <w:rPr>
          <w:rFonts w:hint="eastAsia"/>
          <w:szCs w:val="21"/>
        </w:rPr>
        <w:t>，落实</w:t>
      </w:r>
      <w:r>
        <w:rPr>
          <w:szCs w:val="21"/>
        </w:rPr>
        <w:t>现场巡查机制</w:t>
      </w:r>
      <w:r>
        <w:rPr>
          <w:rFonts w:hint="eastAsia"/>
          <w:szCs w:val="21"/>
        </w:rPr>
        <w:t>，定期</w:t>
      </w:r>
      <w:r>
        <w:rPr>
          <w:szCs w:val="21"/>
        </w:rPr>
        <w:t>召开安全环境管理会议，使生产车间</w:t>
      </w:r>
      <w:r>
        <w:rPr>
          <w:rFonts w:hint="eastAsia"/>
          <w:szCs w:val="21"/>
        </w:rPr>
        <w:t>高效、</w:t>
      </w:r>
      <w:r>
        <w:rPr>
          <w:szCs w:val="21"/>
        </w:rPr>
        <w:t>安全、稳定运作</w:t>
      </w:r>
      <w:r>
        <w:rPr>
          <w:rFonts w:hint="eastAsia"/>
          <w:szCs w:val="21"/>
        </w:rPr>
        <w:t>，</w:t>
      </w:r>
      <w:r>
        <w:rPr>
          <w:szCs w:val="21"/>
        </w:rPr>
        <w:t>以保证产品品质。</w:t>
      </w:r>
      <w:bookmarkEnd w:id="17"/>
    </w:p>
    <w:p w14:paraId="4294E39E">
      <w:pPr>
        <w:pStyle w:val="82"/>
        <w:shd w:val="clear" w:color="auto" w:fill="FFFFFF"/>
        <w:spacing w:before="0" w:beforeAutospacing="0" w:after="0" w:afterAutospacing="0" w:line="312" w:lineRule="auto"/>
        <w:ind w:firstLine="136"/>
        <w:textAlignment w:val="baseline"/>
        <w:rPr>
          <w:rFonts w:cs="Arial"/>
          <w:bCs/>
          <w:kern w:val="2"/>
          <w:sz w:val="21"/>
          <w:szCs w:val="21"/>
        </w:rPr>
      </w:pPr>
      <w:r>
        <w:rPr>
          <w:rFonts w:hint="eastAsia" w:cs="Arial"/>
          <w:bCs/>
          <w:kern w:val="2"/>
          <w:sz w:val="21"/>
          <w:szCs w:val="21"/>
        </w:rPr>
        <w:t xml:space="preserve">   公司积极委托环境监测部门对我司的废气、废水、噪声的排放检测。</w:t>
      </w:r>
    </w:p>
    <w:p w14:paraId="29D58C7B">
      <w:pPr>
        <w:pStyle w:val="387"/>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图表17 公司近三年环境检测结果</w:t>
      </w:r>
    </w:p>
    <w:tbl>
      <w:tblPr>
        <w:tblStyle w:val="89"/>
        <w:tblW w:w="8956" w:type="dxa"/>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1101"/>
        <w:gridCol w:w="1147"/>
        <w:gridCol w:w="3681"/>
        <w:gridCol w:w="1009"/>
        <w:gridCol w:w="1009"/>
        <w:gridCol w:w="1009"/>
      </w:tblGrid>
      <w:tr w14:paraId="0D2B943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101" w:type="dxa"/>
            <w:shd w:val="clear" w:color="auto" w:fill="DBE5F1" w:themeFill="accent1" w:themeFillTint="33"/>
            <w:vAlign w:val="center"/>
          </w:tcPr>
          <w:p w14:paraId="79654431">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项目</w:t>
            </w:r>
          </w:p>
        </w:tc>
        <w:tc>
          <w:tcPr>
            <w:tcW w:w="1147" w:type="dxa"/>
            <w:shd w:val="clear" w:color="auto" w:fill="DBE5F1" w:themeFill="accent1" w:themeFillTint="33"/>
            <w:vAlign w:val="center"/>
          </w:tcPr>
          <w:p w14:paraId="1562A443">
            <w:pPr>
              <w:pStyle w:val="387"/>
              <w:spacing w:line="240" w:lineRule="auto"/>
              <w:ind w:firstLine="0" w:firstLineChars="0"/>
              <w:rPr>
                <w:rFonts w:asciiTheme="minorEastAsia" w:hAnsiTheme="minorEastAsia" w:eastAsiaTheme="minorEastAsia"/>
                <w:b/>
                <w:bCs/>
                <w:sz w:val="21"/>
              </w:rPr>
            </w:pPr>
            <w:r>
              <w:rPr>
                <w:rFonts w:hint="eastAsia" w:asciiTheme="minorEastAsia" w:hAnsiTheme="minorEastAsia" w:eastAsiaTheme="minorEastAsia"/>
                <w:b/>
                <w:bCs/>
                <w:sz w:val="21"/>
              </w:rPr>
              <w:t>环境要素</w:t>
            </w:r>
          </w:p>
        </w:tc>
        <w:tc>
          <w:tcPr>
            <w:tcW w:w="3681" w:type="dxa"/>
            <w:shd w:val="clear" w:color="auto" w:fill="DBE5F1" w:themeFill="accent1" w:themeFillTint="33"/>
            <w:vAlign w:val="center"/>
          </w:tcPr>
          <w:p w14:paraId="2ADFDF56">
            <w:pPr>
              <w:pStyle w:val="387"/>
              <w:spacing w:line="240" w:lineRule="auto"/>
              <w:ind w:firstLine="738" w:firstLineChars="350"/>
              <w:rPr>
                <w:rFonts w:asciiTheme="minorEastAsia" w:hAnsiTheme="minorEastAsia" w:eastAsiaTheme="minorEastAsia"/>
                <w:b/>
                <w:bCs/>
                <w:sz w:val="21"/>
              </w:rPr>
            </w:pPr>
            <w:r>
              <w:rPr>
                <w:rFonts w:hint="eastAsia" w:asciiTheme="minorEastAsia" w:hAnsiTheme="minorEastAsia" w:eastAsiaTheme="minorEastAsia"/>
                <w:b/>
                <w:bCs/>
                <w:sz w:val="21"/>
              </w:rPr>
              <w:t>法律法规指标要求</w:t>
            </w:r>
          </w:p>
        </w:tc>
        <w:tc>
          <w:tcPr>
            <w:tcW w:w="1009" w:type="dxa"/>
            <w:shd w:val="clear" w:color="auto" w:fill="DBE5F1" w:themeFill="accent1" w:themeFillTint="33"/>
            <w:vAlign w:val="center"/>
          </w:tcPr>
          <w:p w14:paraId="2CF76181">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202</w:t>
            </w:r>
            <w:r>
              <w:rPr>
                <w:rFonts w:hint="eastAsia" w:asciiTheme="minorEastAsia" w:hAnsiTheme="minorEastAsia" w:eastAsiaTheme="minorEastAsia"/>
                <w:b/>
                <w:bCs/>
                <w:sz w:val="21"/>
                <w:lang w:val="en-US" w:eastAsia="zh-CN"/>
              </w:rPr>
              <w:t>3</w:t>
            </w:r>
            <w:r>
              <w:rPr>
                <w:rFonts w:hint="eastAsia" w:asciiTheme="minorEastAsia" w:hAnsiTheme="minorEastAsia" w:eastAsiaTheme="minorEastAsia"/>
                <w:b/>
                <w:bCs/>
                <w:sz w:val="21"/>
              </w:rPr>
              <w:t>年</w:t>
            </w:r>
          </w:p>
        </w:tc>
        <w:tc>
          <w:tcPr>
            <w:tcW w:w="1009" w:type="dxa"/>
            <w:shd w:val="clear" w:color="auto" w:fill="DBE5F1" w:themeFill="accent1" w:themeFillTint="33"/>
            <w:vAlign w:val="center"/>
          </w:tcPr>
          <w:p w14:paraId="0DA0EFB4">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202</w:t>
            </w:r>
            <w:r>
              <w:rPr>
                <w:rFonts w:hint="eastAsia" w:asciiTheme="minorEastAsia" w:hAnsiTheme="minorEastAsia" w:eastAsiaTheme="minorEastAsia"/>
                <w:b/>
                <w:bCs/>
                <w:sz w:val="21"/>
                <w:lang w:val="en-US" w:eastAsia="zh-CN"/>
              </w:rPr>
              <w:t>4</w:t>
            </w:r>
            <w:r>
              <w:rPr>
                <w:rFonts w:hint="eastAsia" w:asciiTheme="minorEastAsia" w:hAnsiTheme="minorEastAsia" w:eastAsiaTheme="minorEastAsia"/>
                <w:b/>
                <w:bCs/>
                <w:sz w:val="21"/>
              </w:rPr>
              <w:t>年</w:t>
            </w:r>
          </w:p>
        </w:tc>
        <w:tc>
          <w:tcPr>
            <w:tcW w:w="1009" w:type="dxa"/>
            <w:shd w:val="clear" w:color="auto" w:fill="DBE5F1" w:themeFill="accent1" w:themeFillTint="33"/>
            <w:vAlign w:val="center"/>
          </w:tcPr>
          <w:p w14:paraId="738CB5D0">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lang w:eastAsia="zh-CN"/>
              </w:rPr>
              <w:t>202</w:t>
            </w:r>
            <w:r>
              <w:rPr>
                <w:rFonts w:hint="eastAsia" w:asciiTheme="minorEastAsia" w:hAnsiTheme="minorEastAsia" w:eastAsiaTheme="minorEastAsia"/>
                <w:b/>
                <w:bCs/>
                <w:sz w:val="21"/>
                <w:lang w:val="en-US" w:eastAsia="zh-CN"/>
              </w:rPr>
              <w:t>5</w:t>
            </w:r>
            <w:r>
              <w:rPr>
                <w:rFonts w:hint="eastAsia" w:asciiTheme="minorEastAsia" w:hAnsiTheme="minorEastAsia" w:eastAsiaTheme="minorEastAsia"/>
                <w:b/>
                <w:bCs/>
                <w:sz w:val="21"/>
              </w:rPr>
              <w:t>年</w:t>
            </w:r>
          </w:p>
        </w:tc>
      </w:tr>
      <w:tr w14:paraId="7149B619">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101" w:type="dxa"/>
            <w:vAlign w:val="center"/>
          </w:tcPr>
          <w:p w14:paraId="38D8B38B">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质量安全</w:t>
            </w:r>
          </w:p>
        </w:tc>
        <w:tc>
          <w:tcPr>
            <w:tcW w:w="1147" w:type="dxa"/>
            <w:vAlign w:val="center"/>
          </w:tcPr>
          <w:p w14:paraId="5575BD4E">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产品质量</w:t>
            </w:r>
          </w:p>
        </w:tc>
        <w:tc>
          <w:tcPr>
            <w:tcW w:w="3681" w:type="dxa"/>
            <w:vAlign w:val="center"/>
          </w:tcPr>
          <w:p w14:paraId="2D558D87">
            <w:pPr>
              <w:pStyle w:val="387"/>
              <w:spacing w:line="240" w:lineRule="auto"/>
              <w:ind w:firstLine="0" w:firstLineChars="0"/>
              <w:jc w:val="center"/>
              <w:rPr>
                <w:rFonts w:asciiTheme="minorEastAsia" w:hAnsiTheme="minorEastAsia" w:eastAsiaTheme="minorEastAsia"/>
                <w:sz w:val="21"/>
                <w:highlight w:val="green"/>
              </w:rPr>
            </w:pPr>
            <w:r>
              <w:rPr>
                <w:rFonts w:hint="eastAsia" w:asciiTheme="minorEastAsia" w:hAnsiTheme="minorEastAsia" w:eastAsiaTheme="minorEastAsia"/>
                <w:sz w:val="21"/>
              </w:rPr>
              <w:t>无因使用公司产品发生伤亡事故</w:t>
            </w:r>
          </w:p>
        </w:tc>
        <w:tc>
          <w:tcPr>
            <w:tcW w:w="1009" w:type="dxa"/>
            <w:vAlign w:val="center"/>
          </w:tcPr>
          <w:p w14:paraId="2BD97637">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无</w:t>
            </w:r>
          </w:p>
        </w:tc>
        <w:tc>
          <w:tcPr>
            <w:tcW w:w="1009" w:type="dxa"/>
            <w:vAlign w:val="center"/>
          </w:tcPr>
          <w:p w14:paraId="238EDF6C">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无</w:t>
            </w:r>
          </w:p>
        </w:tc>
        <w:tc>
          <w:tcPr>
            <w:tcW w:w="1009" w:type="dxa"/>
            <w:vAlign w:val="center"/>
          </w:tcPr>
          <w:p w14:paraId="6309BD06">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无</w:t>
            </w:r>
          </w:p>
        </w:tc>
      </w:tr>
      <w:tr w14:paraId="06D9AB6A">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101" w:type="dxa"/>
            <w:vMerge w:val="restart"/>
            <w:vAlign w:val="center"/>
          </w:tcPr>
          <w:p w14:paraId="6A65D292">
            <w:pPr>
              <w:pStyle w:val="387"/>
              <w:spacing w:line="240" w:lineRule="auto"/>
              <w:ind w:firstLine="0" w:firstLineChars="0"/>
              <w:rPr>
                <w:rFonts w:asciiTheme="minorEastAsia" w:hAnsiTheme="minorEastAsia" w:eastAsiaTheme="minorEastAsia"/>
                <w:sz w:val="21"/>
              </w:rPr>
            </w:pPr>
            <w:r>
              <w:rPr>
                <w:rFonts w:hint="eastAsia" w:asciiTheme="minorEastAsia" w:hAnsiTheme="minorEastAsia" w:eastAsiaTheme="minorEastAsia"/>
                <w:sz w:val="21"/>
              </w:rPr>
              <w:t>环境保护</w:t>
            </w:r>
          </w:p>
        </w:tc>
        <w:tc>
          <w:tcPr>
            <w:tcW w:w="1147" w:type="dxa"/>
            <w:vAlign w:val="center"/>
          </w:tcPr>
          <w:p w14:paraId="7A589876">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废水</w:t>
            </w:r>
          </w:p>
        </w:tc>
        <w:tc>
          <w:tcPr>
            <w:tcW w:w="3681" w:type="dxa"/>
          </w:tcPr>
          <w:p w14:paraId="5B837D1E">
            <w:pPr>
              <w:pStyle w:val="387"/>
              <w:spacing w:line="240" w:lineRule="auto"/>
              <w:ind w:firstLine="0" w:firstLineChars="0"/>
              <w:jc w:val="left"/>
              <w:rPr>
                <w:rFonts w:asciiTheme="minorEastAsia" w:hAnsiTheme="minorEastAsia" w:eastAsiaTheme="minorEastAsia"/>
                <w:color w:val="000000" w:themeColor="text1"/>
                <w:sz w:val="21"/>
              </w:rPr>
            </w:pPr>
            <w:r>
              <w:rPr>
                <w:rFonts w:hint="eastAsia" w:cs="宋体" w:asciiTheme="minorEastAsia" w:hAnsiTheme="minorEastAsia" w:eastAsiaTheme="minorEastAsia"/>
                <w:sz w:val="21"/>
              </w:rPr>
              <w:t>公司不产生工艺废水，只产生生活污水，生活污水经预处理。按</w:t>
            </w:r>
            <w:r>
              <w:rPr>
                <w:rFonts w:asciiTheme="minorEastAsia" w:hAnsiTheme="minorEastAsia" w:eastAsiaTheme="minorEastAsia"/>
                <w:color w:val="000000" w:themeColor="text1"/>
                <w:sz w:val="21"/>
              </w:rPr>
              <w:t>GB8978-1996 污水综合排放三级标准</w:t>
            </w:r>
            <w:r>
              <w:rPr>
                <w:rFonts w:hint="eastAsia" w:asciiTheme="minorEastAsia" w:hAnsiTheme="minorEastAsia" w:eastAsiaTheme="minorEastAsia"/>
                <w:color w:val="000000" w:themeColor="text1"/>
                <w:sz w:val="21"/>
              </w:rPr>
              <w:t>。</w:t>
            </w:r>
          </w:p>
        </w:tc>
        <w:tc>
          <w:tcPr>
            <w:tcW w:w="1009" w:type="dxa"/>
            <w:vAlign w:val="center"/>
          </w:tcPr>
          <w:p w14:paraId="38FBAD94">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c>
          <w:tcPr>
            <w:tcW w:w="1009" w:type="dxa"/>
            <w:vAlign w:val="center"/>
          </w:tcPr>
          <w:p w14:paraId="1720715D">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c>
          <w:tcPr>
            <w:tcW w:w="1009" w:type="dxa"/>
            <w:vAlign w:val="center"/>
          </w:tcPr>
          <w:p w14:paraId="38F48335">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r>
      <w:tr w14:paraId="4DE8186A">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101" w:type="dxa"/>
            <w:vMerge w:val="continue"/>
            <w:vAlign w:val="center"/>
          </w:tcPr>
          <w:p w14:paraId="05B000B5">
            <w:pPr>
              <w:pStyle w:val="387"/>
              <w:spacing w:line="240" w:lineRule="auto"/>
              <w:ind w:firstLine="0" w:firstLineChars="0"/>
              <w:jc w:val="center"/>
              <w:rPr>
                <w:rFonts w:asciiTheme="minorEastAsia" w:hAnsiTheme="minorEastAsia" w:eastAsiaTheme="minorEastAsia"/>
                <w:sz w:val="21"/>
              </w:rPr>
            </w:pPr>
          </w:p>
        </w:tc>
        <w:tc>
          <w:tcPr>
            <w:tcW w:w="1147" w:type="dxa"/>
            <w:vAlign w:val="center"/>
          </w:tcPr>
          <w:p w14:paraId="2E9506A6">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废气</w:t>
            </w:r>
          </w:p>
        </w:tc>
        <w:tc>
          <w:tcPr>
            <w:tcW w:w="3681" w:type="dxa"/>
          </w:tcPr>
          <w:p w14:paraId="29431CE4">
            <w:pPr>
              <w:pStyle w:val="387"/>
              <w:spacing w:line="240" w:lineRule="auto"/>
              <w:ind w:firstLine="0" w:firstLineChars="0"/>
              <w:jc w:val="left"/>
              <w:rPr>
                <w:rFonts w:asciiTheme="minorEastAsia" w:hAnsiTheme="minorEastAsia" w:eastAsiaTheme="minorEastAsia"/>
                <w:color w:val="000000" w:themeColor="text1"/>
                <w:sz w:val="21"/>
              </w:rPr>
            </w:pPr>
            <w:r>
              <w:rPr>
                <w:rFonts w:hint="eastAsia" w:cs="宋体" w:asciiTheme="minorEastAsia" w:hAnsiTheme="minorEastAsia" w:eastAsiaTheme="minorEastAsia"/>
                <w:sz w:val="21"/>
              </w:rPr>
              <w:t>主要控制挤包和挤护套等过程的废气、印字废气，采用集气罩收集、活性炭处理，排放</w:t>
            </w:r>
            <w:r>
              <w:rPr>
                <w:rFonts w:asciiTheme="minorEastAsia" w:hAnsiTheme="minorEastAsia" w:eastAsiaTheme="minorEastAsia"/>
                <w:color w:val="000000" w:themeColor="text1"/>
                <w:sz w:val="21"/>
              </w:rPr>
              <w:t>GB</w:t>
            </w:r>
            <w:r>
              <w:rPr>
                <w:rFonts w:hint="eastAsia" w:asciiTheme="minorEastAsia" w:hAnsiTheme="minorEastAsia" w:eastAsiaTheme="minorEastAsia"/>
                <w:color w:val="000000" w:themeColor="text1"/>
                <w:sz w:val="21"/>
              </w:rPr>
              <w:t>16297</w:t>
            </w:r>
            <w:r>
              <w:rPr>
                <w:rFonts w:asciiTheme="minorEastAsia" w:hAnsiTheme="minorEastAsia" w:eastAsiaTheme="minorEastAsia"/>
                <w:color w:val="000000" w:themeColor="text1"/>
                <w:sz w:val="21"/>
              </w:rPr>
              <w:t xml:space="preserve">-1996 </w:t>
            </w:r>
            <w:r>
              <w:rPr>
                <w:rFonts w:hint="eastAsia" w:asciiTheme="minorEastAsia" w:hAnsiTheme="minorEastAsia" w:eastAsiaTheme="minorEastAsia"/>
                <w:color w:val="000000" w:themeColor="text1"/>
                <w:sz w:val="21"/>
              </w:rPr>
              <w:t>大气污染</w:t>
            </w:r>
            <w:r>
              <w:rPr>
                <w:rFonts w:asciiTheme="minorEastAsia" w:hAnsiTheme="minorEastAsia" w:eastAsiaTheme="minorEastAsia"/>
                <w:color w:val="000000" w:themeColor="text1"/>
                <w:sz w:val="21"/>
              </w:rPr>
              <w:t>综合排放</w:t>
            </w:r>
            <w:r>
              <w:rPr>
                <w:rFonts w:hint="eastAsia" w:asciiTheme="minorEastAsia" w:hAnsiTheme="minorEastAsia" w:eastAsiaTheme="minorEastAsia"/>
                <w:color w:val="000000" w:themeColor="text1"/>
                <w:sz w:val="21"/>
              </w:rPr>
              <w:t>表2 无组织排放监控浓度限值</w:t>
            </w:r>
            <w:r>
              <w:rPr>
                <w:rFonts w:hint="eastAsia" w:cs="宋体" w:asciiTheme="minorEastAsia" w:hAnsiTheme="minorEastAsia" w:eastAsiaTheme="minorEastAsia"/>
                <w:sz w:val="21"/>
              </w:rPr>
              <w:t>和G</w:t>
            </w:r>
            <w:r>
              <w:rPr>
                <w:rFonts w:cs="宋体" w:asciiTheme="minorEastAsia" w:hAnsiTheme="minorEastAsia" w:eastAsiaTheme="minorEastAsia"/>
                <w:sz w:val="21"/>
              </w:rPr>
              <w:t>B31572</w:t>
            </w:r>
            <w:r>
              <w:rPr>
                <w:rFonts w:hint="eastAsia" w:cs="宋体" w:asciiTheme="minorEastAsia" w:hAnsiTheme="minorEastAsia" w:eastAsiaTheme="minorEastAsia"/>
                <w:sz w:val="21"/>
              </w:rPr>
              <w:t>-2015《合成树脂工业污染物排放标准》：PVC≤</w:t>
            </w:r>
            <w:r>
              <w:rPr>
                <w:rFonts w:cs="宋体" w:asciiTheme="minorEastAsia" w:hAnsiTheme="minorEastAsia" w:eastAsiaTheme="minorEastAsia"/>
                <w:sz w:val="21"/>
              </w:rPr>
              <w:t>36mg/m</w:t>
            </w:r>
            <w:r>
              <w:rPr>
                <w:rFonts w:cs="宋体" w:asciiTheme="minorEastAsia" w:hAnsiTheme="minorEastAsia" w:eastAsiaTheme="minorEastAsia"/>
                <w:sz w:val="21"/>
                <w:vertAlign w:val="superscript"/>
              </w:rPr>
              <w:t>3</w:t>
            </w:r>
            <w:r>
              <w:rPr>
                <w:rFonts w:hint="eastAsia" w:cs="宋体" w:asciiTheme="minorEastAsia" w:hAnsiTheme="minorEastAsia" w:eastAsiaTheme="minorEastAsia"/>
                <w:sz w:val="21"/>
              </w:rPr>
              <w:t>，H</w:t>
            </w:r>
            <w:r>
              <w:rPr>
                <w:rFonts w:cs="宋体" w:asciiTheme="minorEastAsia" w:hAnsiTheme="minorEastAsia" w:eastAsiaTheme="minorEastAsia"/>
                <w:sz w:val="21"/>
              </w:rPr>
              <w:t>Cl</w:t>
            </w:r>
            <w:r>
              <w:rPr>
                <w:rFonts w:hint="eastAsia" w:cs="宋体" w:asciiTheme="minorEastAsia" w:hAnsiTheme="minorEastAsia" w:eastAsiaTheme="minorEastAsia"/>
                <w:sz w:val="21"/>
              </w:rPr>
              <w:t>≤</w:t>
            </w:r>
            <w:r>
              <w:rPr>
                <w:rFonts w:cs="宋体" w:asciiTheme="minorEastAsia" w:hAnsiTheme="minorEastAsia" w:eastAsiaTheme="minorEastAsia"/>
                <w:sz w:val="21"/>
              </w:rPr>
              <w:t>100mg/m</w:t>
            </w:r>
            <w:r>
              <w:rPr>
                <w:rFonts w:cs="宋体" w:asciiTheme="minorEastAsia" w:hAnsiTheme="minorEastAsia" w:eastAsiaTheme="minorEastAsia"/>
                <w:sz w:val="21"/>
                <w:vertAlign w:val="superscript"/>
              </w:rPr>
              <w:t>3</w:t>
            </w:r>
            <w:r>
              <w:rPr>
                <w:rFonts w:hint="eastAsia" w:cs="宋体" w:asciiTheme="minorEastAsia" w:hAnsiTheme="minorEastAsia" w:eastAsiaTheme="minorEastAsia"/>
                <w:sz w:val="21"/>
              </w:rPr>
              <w:t>，非甲烷总烃≤</w:t>
            </w:r>
            <w:r>
              <w:rPr>
                <w:rFonts w:cs="宋体" w:asciiTheme="minorEastAsia" w:hAnsiTheme="minorEastAsia" w:eastAsiaTheme="minorEastAsia"/>
                <w:sz w:val="21"/>
              </w:rPr>
              <w:t>100mg/m</w:t>
            </w:r>
            <w:r>
              <w:rPr>
                <w:rFonts w:cs="宋体" w:asciiTheme="minorEastAsia" w:hAnsiTheme="minorEastAsia" w:eastAsiaTheme="minorEastAsia"/>
                <w:sz w:val="21"/>
                <w:vertAlign w:val="superscript"/>
              </w:rPr>
              <w:t>3</w:t>
            </w:r>
          </w:p>
        </w:tc>
        <w:tc>
          <w:tcPr>
            <w:tcW w:w="1009" w:type="dxa"/>
            <w:vAlign w:val="center"/>
          </w:tcPr>
          <w:p w14:paraId="34979FD2">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c>
          <w:tcPr>
            <w:tcW w:w="1009" w:type="dxa"/>
            <w:vAlign w:val="center"/>
          </w:tcPr>
          <w:p w14:paraId="54BECD44">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c>
          <w:tcPr>
            <w:tcW w:w="1009" w:type="dxa"/>
            <w:vAlign w:val="center"/>
          </w:tcPr>
          <w:p w14:paraId="7D83D331">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r>
      <w:tr w14:paraId="05947CA1">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101" w:type="dxa"/>
            <w:vMerge w:val="continue"/>
            <w:vAlign w:val="center"/>
          </w:tcPr>
          <w:p w14:paraId="7B5FC7AA">
            <w:pPr>
              <w:pStyle w:val="387"/>
              <w:spacing w:line="240" w:lineRule="auto"/>
              <w:ind w:firstLine="0" w:firstLineChars="0"/>
              <w:jc w:val="center"/>
              <w:rPr>
                <w:rFonts w:asciiTheme="minorEastAsia" w:hAnsiTheme="minorEastAsia" w:eastAsiaTheme="minorEastAsia"/>
                <w:sz w:val="21"/>
                <w:highlight w:val="green"/>
              </w:rPr>
            </w:pPr>
          </w:p>
        </w:tc>
        <w:tc>
          <w:tcPr>
            <w:tcW w:w="1147" w:type="dxa"/>
            <w:vAlign w:val="center"/>
          </w:tcPr>
          <w:p w14:paraId="0BA06618">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噪声</w:t>
            </w:r>
          </w:p>
        </w:tc>
        <w:tc>
          <w:tcPr>
            <w:tcW w:w="3681" w:type="dxa"/>
          </w:tcPr>
          <w:p w14:paraId="16C2A4F0">
            <w:pPr>
              <w:pStyle w:val="387"/>
              <w:spacing w:line="240" w:lineRule="auto"/>
              <w:ind w:firstLine="0" w:firstLineChars="0"/>
              <w:jc w:val="left"/>
              <w:rPr>
                <w:rFonts w:asciiTheme="minorEastAsia" w:hAnsiTheme="minorEastAsia" w:eastAsiaTheme="minorEastAsia"/>
                <w:color w:val="000000" w:themeColor="text1"/>
                <w:sz w:val="21"/>
              </w:rPr>
            </w:pPr>
            <w:r>
              <w:rPr>
                <w:rFonts w:hint="eastAsia" w:cs="宋体" w:asciiTheme="minorEastAsia" w:hAnsiTheme="minorEastAsia" w:eastAsiaTheme="minorEastAsia"/>
                <w:sz w:val="21"/>
              </w:rPr>
              <w:t>厂界噪声排放达到</w:t>
            </w:r>
            <w:r>
              <w:rPr>
                <w:rFonts w:asciiTheme="minorEastAsia" w:hAnsiTheme="minorEastAsia" w:eastAsiaTheme="minorEastAsia"/>
                <w:color w:val="000000" w:themeColor="text1"/>
                <w:sz w:val="21"/>
              </w:rPr>
              <w:t>GB12348-2008工业企业厂界噪声</w:t>
            </w:r>
            <w:r>
              <w:rPr>
                <w:rFonts w:hint="eastAsia" w:asciiTheme="minorEastAsia" w:hAnsiTheme="minorEastAsia" w:eastAsiaTheme="minorEastAsia"/>
                <w:color w:val="000000" w:themeColor="text1"/>
                <w:sz w:val="21"/>
              </w:rPr>
              <w:t>3类</w:t>
            </w:r>
            <w:r>
              <w:rPr>
                <w:rFonts w:asciiTheme="minorEastAsia" w:hAnsiTheme="minorEastAsia" w:eastAsiaTheme="minorEastAsia"/>
                <w:color w:val="000000" w:themeColor="text1"/>
                <w:sz w:val="21"/>
              </w:rPr>
              <w:t>标准</w:t>
            </w:r>
            <w:r>
              <w:rPr>
                <w:rFonts w:hint="eastAsia" w:cs="宋体" w:asciiTheme="minorEastAsia" w:hAnsiTheme="minorEastAsia" w:eastAsiaTheme="minorEastAsia"/>
                <w:sz w:val="21"/>
              </w:rPr>
              <w:t>。确保生产现场周界噪声的排放100%达标。</w:t>
            </w:r>
          </w:p>
        </w:tc>
        <w:tc>
          <w:tcPr>
            <w:tcW w:w="1009" w:type="dxa"/>
            <w:vAlign w:val="center"/>
          </w:tcPr>
          <w:p w14:paraId="4585933C">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c>
          <w:tcPr>
            <w:tcW w:w="1009" w:type="dxa"/>
            <w:vAlign w:val="center"/>
          </w:tcPr>
          <w:p w14:paraId="54A00569">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c>
          <w:tcPr>
            <w:tcW w:w="1009" w:type="dxa"/>
            <w:vAlign w:val="center"/>
          </w:tcPr>
          <w:p w14:paraId="5C2EA145">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r>
      <w:tr w14:paraId="45590974">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101" w:type="dxa"/>
            <w:vMerge w:val="continue"/>
            <w:vAlign w:val="center"/>
          </w:tcPr>
          <w:p w14:paraId="00097349">
            <w:pPr>
              <w:pStyle w:val="387"/>
              <w:spacing w:line="240" w:lineRule="auto"/>
              <w:ind w:firstLine="0" w:firstLineChars="0"/>
              <w:jc w:val="center"/>
              <w:rPr>
                <w:rFonts w:asciiTheme="minorEastAsia" w:hAnsiTheme="minorEastAsia" w:eastAsiaTheme="minorEastAsia"/>
                <w:sz w:val="21"/>
                <w:highlight w:val="green"/>
              </w:rPr>
            </w:pPr>
          </w:p>
        </w:tc>
        <w:tc>
          <w:tcPr>
            <w:tcW w:w="1147" w:type="dxa"/>
            <w:vAlign w:val="center"/>
          </w:tcPr>
          <w:p w14:paraId="4A897C87">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固废</w:t>
            </w:r>
          </w:p>
        </w:tc>
        <w:tc>
          <w:tcPr>
            <w:tcW w:w="3681" w:type="dxa"/>
          </w:tcPr>
          <w:p w14:paraId="054C7266">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100%处理</w:t>
            </w:r>
          </w:p>
        </w:tc>
        <w:tc>
          <w:tcPr>
            <w:tcW w:w="1009" w:type="dxa"/>
            <w:vAlign w:val="center"/>
          </w:tcPr>
          <w:p w14:paraId="22F54608">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100%</w:t>
            </w:r>
          </w:p>
        </w:tc>
        <w:tc>
          <w:tcPr>
            <w:tcW w:w="1009" w:type="dxa"/>
            <w:vAlign w:val="center"/>
          </w:tcPr>
          <w:p w14:paraId="642E3105">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100%</w:t>
            </w:r>
          </w:p>
        </w:tc>
        <w:tc>
          <w:tcPr>
            <w:tcW w:w="1009" w:type="dxa"/>
            <w:vAlign w:val="center"/>
          </w:tcPr>
          <w:p w14:paraId="699820F7">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100%</w:t>
            </w:r>
          </w:p>
        </w:tc>
      </w:tr>
    </w:tbl>
    <w:p w14:paraId="1CCC2078">
      <w:pPr>
        <w:pStyle w:val="141"/>
        <w:adjustRightInd w:val="0"/>
        <w:spacing w:line="360" w:lineRule="auto"/>
        <w:outlineLvl w:val="1"/>
        <w:rPr>
          <w:rFonts w:ascii="宋体" w:hAnsi="宋体"/>
          <w:b/>
          <w:sz w:val="24"/>
        </w:rPr>
      </w:pPr>
      <w:bookmarkStart w:id="18" w:name="_Toc5341"/>
      <w:r>
        <w:rPr>
          <w:rFonts w:hint="eastAsia" w:ascii="宋体" w:hAnsi="宋体"/>
          <w:b/>
          <w:sz w:val="24"/>
        </w:rPr>
        <w:t>6、道德行为</w:t>
      </w:r>
      <w:bookmarkEnd w:id="18"/>
    </w:p>
    <w:p w14:paraId="6DD5F4CE">
      <w:pPr>
        <w:pStyle w:val="141"/>
        <w:adjustRightInd w:val="0"/>
        <w:spacing w:line="312" w:lineRule="auto"/>
        <w:ind w:firstLine="422" w:firstLineChars="200"/>
        <w:rPr>
          <w:rFonts w:ascii="宋体" w:hAnsi="宋体"/>
          <w:b/>
          <w:szCs w:val="21"/>
        </w:rPr>
      </w:pPr>
      <w:r>
        <w:rPr>
          <w:rFonts w:hint="eastAsia" w:ascii="宋体" w:hAnsi="宋体"/>
          <w:b/>
          <w:szCs w:val="21"/>
        </w:rPr>
        <w:t>（1）</w:t>
      </w:r>
      <w:r>
        <w:rPr>
          <w:rFonts w:ascii="宋体" w:hAnsi="宋体"/>
          <w:b/>
          <w:szCs w:val="21"/>
        </w:rPr>
        <w:t>遵守诚信准则、构建信用体系</w:t>
      </w:r>
    </w:p>
    <w:p w14:paraId="656A644F">
      <w:pPr>
        <w:spacing w:line="312" w:lineRule="auto"/>
        <w:ind w:firstLine="420" w:firstLineChars="200"/>
        <w:rPr>
          <w:rFonts w:ascii="宋体" w:hAnsi="宋体"/>
          <w:szCs w:val="21"/>
        </w:rPr>
      </w:pPr>
      <w:r>
        <w:rPr>
          <w:rFonts w:hint="eastAsia" w:ascii="宋体" w:hAnsi="宋体"/>
          <w:szCs w:val="21"/>
        </w:rPr>
        <w:t>公司高层明确“遵纪守法”的经营准则、“公平诚信”的待人原则、“公正客观”的处事原则、“勤勉细致”的行为要求、“严密、人性化”的管理原则，遵循国家法律法规、履行对员工应尽的义务，并引导积极的企业文化。另外，公司也积极通过自身的企业文化和制度建设，不断强化员工的道德行为意识。</w:t>
      </w:r>
    </w:p>
    <w:p w14:paraId="002C235B">
      <w:pPr>
        <w:spacing w:line="312" w:lineRule="auto"/>
        <w:rPr>
          <w:rFonts w:ascii="宋体" w:hAnsi="宋体"/>
          <w:szCs w:val="21"/>
        </w:rPr>
      </w:pPr>
      <w:r>
        <w:rPr>
          <w:rFonts w:hint="eastAsia" w:ascii="宋体" w:hAnsi="宋体"/>
          <w:bCs/>
          <w:szCs w:val="21"/>
        </w:rPr>
        <w:t xml:space="preserve">    公</w:t>
      </w:r>
      <w:r>
        <w:rPr>
          <w:rFonts w:hint="eastAsia" w:ascii="宋体" w:hAnsi="宋体"/>
          <w:szCs w:val="21"/>
        </w:rPr>
        <w:t>司高层领导</w:t>
      </w:r>
      <w:r>
        <w:rPr>
          <w:rFonts w:ascii="宋体" w:hAnsi="宋体"/>
          <w:szCs w:val="21"/>
        </w:rPr>
        <w:t>及股东们一致认为：</w:t>
      </w:r>
    </w:p>
    <w:p w14:paraId="7F3A2BDF">
      <w:pPr>
        <w:spacing w:line="312" w:lineRule="auto"/>
        <w:ind w:firstLine="420" w:firstLineChars="200"/>
        <w:rPr>
          <w:rFonts w:ascii="宋体" w:hAnsi="宋体"/>
          <w:szCs w:val="21"/>
        </w:rPr>
      </w:pPr>
      <w:r>
        <w:rPr>
          <w:rFonts w:ascii="宋体" w:hAnsi="宋体"/>
          <w:szCs w:val="21"/>
        </w:rPr>
        <w:t>良好的商业道德是</w:t>
      </w:r>
      <w:r>
        <w:rPr>
          <w:rFonts w:hint="eastAsia" w:ascii="宋体" w:hAnsi="宋体"/>
          <w:szCs w:val="21"/>
        </w:rPr>
        <w:t>公司健康</w:t>
      </w:r>
      <w:r>
        <w:rPr>
          <w:rFonts w:ascii="宋体" w:hAnsi="宋体"/>
          <w:szCs w:val="21"/>
        </w:rPr>
        <w:t>运营的基本前提，是实现可持续发展的支柱之一；良好的商业道德不仅能使</w:t>
      </w:r>
      <w:r>
        <w:rPr>
          <w:rFonts w:hint="eastAsia" w:ascii="宋体" w:hAnsi="宋体"/>
          <w:szCs w:val="21"/>
        </w:rPr>
        <w:t>公司</w:t>
      </w:r>
      <w:r>
        <w:rPr>
          <w:rFonts w:ascii="宋体" w:hAnsi="宋体"/>
          <w:szCs w:val="21"/>
        </w:rPr>
        <w:t>获得诚实正直、公平交易的声誉，而且能提高竞争力，为</w:t>
      </w:r>
      <w:r>
        <w:rPr>
          <w:rFonts w:hint="eastAsia" w:ascii="宋体" w:hAnsi="宋体"/>
          <w:szCs w:val="21"/>
        </w:rPr>
        <w:t>公司</w:t>
      </w:r>
      <w:r>
        <w:rPr>
          <w:rFonts w:ascii="宋体" w:hAnsi="宋体"/>
          <w:szCs w:val="21"/>
        </w:rPr>
        <w:t>带来更多的商业机会</w:t>
      </w:r>
      <w:r>
        <w:rPr>
          <w:rFonts w:hint="eastAsia" w:ascii="宋体" w:hAnsi="宋体"/>
          <w:szCs w:val="21"/>
        </w:rPr>
        <w:t>，因此公司高层领导高度重视公司的经营道德和员工的行为道德。</w:t>
      </w:r>
    </w:p>
    <w:p w14:paraId="6E12C9AA">
      <w:pPr>
        <w:spacing w:line="312" w:lineRule="auto"/>
        <w:ind w:firstLine="420" w:firstLineChars="200"/>
        <w:rPr>
          <w:rFonts w:ascii="宋体" w:hAnsi="宋体"/>
          <w:szCs w:val="21"/>
        </w:rPr>
      </w:pPr>
      <w:r>
        <w:rPr>
          <w:rFonts w:ascii="宋体" w:hAnsi="宋体"/>
          <w:szCs w:val="21"/>
        </w:rPr>
        <w:t>通过</w:t>
      </w:r>
      <w:r>
        <w:rPr>
          <w:rFonts w:hint="eastAsia" w:ascii="宋体" w:hAnsi="宋体"/>
          <w:szCs w:val="21"/>
        </w:rPr>
        <w:t>《员工手册》的发布执行</w:t>
      </w:r>
      <w:r>
        <w:rPr>
          <w:rFonts w:ascii="宋体" w:hAnsi="宋体"/>
          <w:szCs w:val="21"/>
        </w:rPr>
        <w:t>，让员工深入学习和熟悉商业道德，深入理解并在业务中严格遵守</w:t>
      </w:r>
      <w:r>
        <w:rPr>
          <w:rFonts w:hint="eastAsia" w:ascii="宋体" w:hAnsi="宋体"/>
          <w:szCs w:val="21"/>
        </w:rPr>
        <w:t>；要求公司</w:t>
      </w:r>
      <w:r>
        <w:rPr>
          <w:rFonts w:ascii="宋体" w:hAnsi="宋体"/>
          <w:szCs w:val="21"/>
        </w:rPr>
        <w:t>的每一位经理人员必须了解其下属的道德行为并对此负责</w:t>
      </w:r>
      <w:r>
        <w:rPr>
          <w:rFonts w:hint="eastAsia" w:ascii="宋体" w:hAnsi="宋体"/>
          <w:szCs w:val="21"/>
        </w:rPr>
        <w:t>；正确处理相关方关系，塑造“</w:t>
      </w:r>
      <w:r>
        <w:rPr>
          <w:rFonts w:hint="eastAsia" w:ascii="宋体" w:hAnsi="宋体"/>
          <w:bCs/>
          <w:szCs w:val="21"/>
        </w:rPr>
        <w:t>以创新求发展，以质量求生存，以诚信求经营，以高效求双赢</w:t>
      </w:r>
      <w:r>
        <w:rPr>
          <w:rFonts w:hint="eastAsia" w:ascii="宋体" w:hAnsi="宋体"/>
          <w:szCs w:val="21"/>
        </w:rPr>
        <w:t>”的企业核心价值观。</w:t>
      </w:r>
    </w:p>
    <w:p w14:paraId="2A37B6E7">
      <w:pPr>
        <w:pStyle w:val="141"/>
        <w:adjustRightInd w:val="0"/>
        <w:spacing w:line="312" w:lineRule="auto"/>
        <w:ind w:firstLine="422" w:firstLineChars="200"/>
        <w:rPr>
          <w:rFonts w:ascii="宋体" w:hAnsi="宋体"/>
          <w:b/>
          <w:szCs w:val="21"/>
        </w:rPr>
      </w:pPr>
      <w:r>
        <w:rPr>
          <w:rFonts w:hint="eastAsia" w:ascii="宋体" w:hAnsi="宋体"/>
          <w:b/>
          <w:szCs w:val="21"/>
        </w:rPr>
        <w:t xml:space="preserve">（2）道德行为监测体系的关键过程及绩效指标 </w:t>
      </w:r>
    </w:p>
    <w:p w14:paraId="57299B2D">
      <w:pPr>
        <w:spacing w:line="360" w:lineRule="auto"/>
        <w:ind w:right="325" w:rightChars="155" w:firstLine="630" w:firstLineChars="300"/>
        <w:rPr>
          <w:rFonts w:ascii="宋体" w:hAnsi="宋体"/>
          <w:szCs w:val="21"/>
        </w:rPr>
      </w:pPr>
      <w:r>
        <w:rPr>
          <w:rFonts w:hint="eastAsia" w:ascii="宋体" w:hAnsi="宋体"/>
          <w:szCs w:val="21"/>
        </w:rPr>
        <w:t>公司道德行为的监测过程、测量方法和指标见下表。</w:t>
      </w:r>
    </w:p>
    <w:p w14:paraId="1AB0CDD8">
      <w:pPr>
        <w:pStyle w:val="387"/>
        <w:spacing w:line="312" w:lineRule="auto"/>
        <w:ind w:firstLine="316" w:firstLineChars="150"/>
        <w:jc w:val="center"/>
        <w:rPr>
          <w:rFonts w:ascii="宋体"/>
          <w:sz w:val="21"/>
        </w:rPr>
      </w:pPr>
      <w:r>
        <w:rPr>
          <w:rFonts w:hint="eastAsia" w:asciiTheme="minorEastAsia" w:hAnsiTheme="minorEastAsia" w:eastAsiaTheme="minorEastAsia"/>
          <w:b/>
          <w:bCs/>
          <w:sz w:val="21"/>
        </w:rPr>
        <w:t>图表18 行为道德的测量指标及方法</w:t>
      </w:r>
    </w:p>
    <w:tbl>
      <w:tblPr>
        <w:tblStyle w:val="88"/>
        <w:tblW w:w="85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1"/>
        <w:gridCol w:w="1559"/>
        <w:gridCol w:w="1768"/>
        <w:gridCol w:w="1650"/>
        <w:gridCol w:w="2444"/>
      </w:tblGrid>
      <w:tr w14:paraId="01191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1101" w:type="dxa"/>
            <w:shd w:val="clear" w:color="auto" w:fill="DBE5F1"/>
            <w:vAlign w:val="center"/>
          </w:tcPr>
          <w:p w14:paraId="7C420EFD">
            <w:pPr>
              <w:jc w:val="center"/>
              <w:rPr>
                <w:rFonts w:ascii="宋体" w:hAnsi="宋体"/>
                <w:b/>
                <w:bCs/>
                <w:color w:val="000000"/>
                <w:kern w:val="0"/>
                <w:szCs w:val="21"/>
              </w:rPr>
            </w:pPr>
            <w:r>
              <w:rPr>
                <w:rFonts w:ascii="宋体" w:hAnsi="宋体"/>
                <w:b/>
                <w:bCs/>
                <w:color w:val="000000"/>
                <w:kern w:val="0"/>
                <w:szCs w:val="21"/>
              </w:rPr>
              <w:t>监督对象</w:t>
            </w:r>
          </w:p>
        </w:tc>
        <w:tc>
          <w:tcPr>
            <w:tcW w:w="1559" w:type="dxa"/>
            <w:shd w:val="clear" w:color="auto" w:fill="DBE5F1"/>
            <w:vAlign w:val="center"/>
          </w:tcPr>
          <w:p w14:paraId="37EAF806">
            <w:pPr>
              <w:jc w:val="center"/>
              <w:rPr>
                <w:rFonts w:ascii="宋体" w:hAnsi="宋体"/>
                <w:b/>
                <w:bCs/>
                <w:color w:val="000000"/>
                <w:kern w:val="0"/>
                <w:szCs w:val="21"/>
              </w:rPr>
            </w:pPr>
            <w:r>
              <w:rPr>
                <w:rFonts w:ascii="宋体" w:hAnsi="宋体"/>
                <w:b/>
                <w:bCs/>
                <w:color w:val="000000"/>
                <w:kern w:val="0"/>
                <w:szCs w:val="21"/>
              </w:rPr>
              <w:t>监测过程</w:t>
            </w:r>
          </w:p>
        </w:tc>
        <w:tc>
          <w:tcPr>
            <w:tcW w:w="1768" w:type="dxa"/>
            <w:shd w:val="clear" w:color="auto" w:fill="DBE5F1"/>
            <w:vAlign w:val="center"/>
          </w:tcPr>
          <w:p w14:paraId="14D8E284">
            <w:pPr>
              <w:jc w:val="center"/>
              <w:rPr>
                <w:rFonts w:ascii="宋体" w:hAnsi="宋体"/>
                <w:b/>
                <w:bCs/>
                <w:color w:val="000000"/>
                <w:kern w:val="0"/>
                <w:szCs w:val="21"/>
              </w:rPr>
            </w:pPr>
            <w:r>
              <w:rPr>
                <w:rFonts w:ascii="宋体" w:hAnsi="宋体"/>
                <w:b/>
                <w:bCs/>
                <w:color w:val="000000"/>
                <w:kern w:val="0"/>
                <w:szCs w:val="21"/>
              </w:rPr>
              <w:t>监督部门</w:t>
            </w:r>
          </w:p>
        </w:tc>
        <w:tc>
          <w:tcPr>
            <w:tcW w:w="1650" w:type="dxa"/>
            <w:shd w:val="clear" w:color="auto" w:fill="DBE5F1"/>
            <w:vAlign w:val="center"/>
          </w:tcPr>
          <w:p w14:paraId="4F67DFC7">
            <w:pPr>
              <w:jc w:val="center"/>
              <w:rPr>
                <w:rFonts w:ascii="宋体" w:hAnsi="宋体"/>
                <w:b/>
                <w:bCs/>
                <w:color w:val="000000"/>
                <w:kern w:val="0"/>
                <w:szCs w:val="21"/>
              </w:rPr>
            </w:pPr>
            <w:r>
              <w:rPr>
                <w:rFonts w:ascii="宋体" w:hAnsi="宋体"/>
                <w:b/>
                <w:bCs/>
                <w:color w:val="000000"/>
                <w:kern w:val="0"/>
                <w:szCs w:val="21"/>
              </w:rPr>
              <w:t>测量方法</w:t>
            </w:r>
          </w:p>
        </w:tc>
        <w:tc>
          <w:tcPr>
            <w:tcW w:w="2444" w:type="dxa"/>
            <w:shd w:val="clear" w:color="auto" w:fill="DBE5F1"/>
            <w:vAlign w:val="center"/>
          </w:tcPr>
          <w:p w14:paraId="0132CAFE">
            <w:pPr>
              <w:jc w:val="center"/>
              <w:rPr>
                <w:rFonts w:ascii="宋体" w:hAnsi="宋体"/>
                <w:b/>
                <w:bCs/>
                <w:color w:val="000000"/>
                <w:kern w:val="0"/>
                <w:szCs w:val="21"/>
              </w:rPr>
            </w:pPr>
            <w:r>
              <w:rPr>
                <w:rFonts w:ascii="宋体" w:hAnsi="宋体"/>
                <w:b/>
                <w:bCs/>
                <w:color w:val="000000"/>
                <w:kern w:val="0"/>
                <w:szCs w:val="21"/>
              </w:rPr>
              <w:t>测量指标</w:t>
            </w:r>
          </w:p>
        </w:tc>
      </w:tr>
      <w:tr w14:paraId="678EEF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restart"/>
            <w:vAlign w:val="center"/>
          </w:tcPr>
          <w:p w14:paraId="5272662E">
            <w:pPr>
              <w:ind w:firstLine="105" w:firstLineChars="50"/>
              <w:jc w:val="left"/>
              <w:rPr>
                <w:rFonts w:ascii="宋体" w:hAnsi="宋体"/>
                <w:color w:val="000000"/>
                <w:kern w:val="0"/>
                <w:szCs w:val="21"/>
              </w:rPr>
            </w:pPr>
            <w:r>
              <w:rPr>
                <w:rFonts w:ascii="宋体" w:hAnsi="宋体"/>
                <w:color w:val="000000"/>
                <w:kern w:val="0"/>
                <w:szCs w:val="21"/>
              </w:rPr>
              <w:t>公司</w:t>
            </w:r>
          </w:p>
          <w:p w14:paraId="7F73268D">
            <w:pPr>
              <w:ind w:firstLine="105" w:firstLineChars="50"/>
              <w:jc w:val="left"/>
              <w:rPr>
                <w:rFonts w:ascii="宋体" w:hAnsi="宋体"/>
                <w:color w:val="000000"/>
                <w:kern w:val="0"/>
                <w:szCs w:val="21"/>
              </w:rPr>
            </w:pPr>
            <w:r>
              <w:rPr>
                <w:rFonts w:ascii="宋体" w:hAnsi="宋体"/>
                <w:color w:val="000000"/>
                <w:kern w:val="0"/>
                <w:szCs w:val="21"/>
              </w:rPr>
              <w:t>高层</w:t>
            </w:r>
          </w:p>
        </w:tc>
        <w:tc>
          <w:tcPr>
            <w:tcW w:w="1559" w:type="dxa"/>
            <w:vAlign w:val="center"/>
          </w:tcPr>
          <w:p w14:paraId="13883349">
            <w:pPr>
              <w:jc w:val="left"/>
              <w:rPr>
                <w:rFonts w:ascii="宋体" w:hAnsi="宋体"/>
                <w:color w:val="000000"/>
                <w:kern w:val="0"/>
                <w:szCs w:val="21"/>
              </w:rPr>
            </w:pPr>
            <w:r>
              <w:rPr>
                <w:rFonts w:ascii="宋体" w:hAnsi="宋体"/>
                <w:color w:val="000000"/>
                <w:kern w:val="0"/>
                <w:szCs w:val="21"/>
              </w:rPr>
              <w:t>公司治理结构</w:t>
            </w:r>
          </w:p>
        </w:tc>
        <w:tc>
          <w:tcPr>
            <w:tcW w:w="1768" w:type="dxa"/>
            <w:vMerge w:val="restart"/>
            <w:vAlign w:val="center"/>
          </w:tcPr>
          <w:p w14:paraId="5E3194CA">
            <w:pPr>
              <w:jc w:val="left"/>
              <w:rPr>
                <w:rFonts w:ascii="宋体" w:hAnsi="宋体"/>
                <w:color w:val="000000"/>
                <w:kern w:val="0"/>
                <w:szCs w:val="21"/>
              </w:rPr>
            </w:pPr>
            <w:r>
              <w:rPr>
                <w:rFonts w:hint="eastAsia" w:ascii="宋体" w:hAnsi="宋体"/>
                <w:color w:val="000000"/>
                <w:kern w:val="0"/>
                <w:szCs w:val="21"/>
              </w:rPr>
              <w:t>股东大会、董事会</w:t>
            </w:r>
          </w:p>
        </w:tc>
        <w:tc>
          <w:tcPr>
            <w:tcW w:w="1650" w:type="dxa"/>
            <w:vAlign w:val="center"/>
          </w:tcPr>
          <w:p w14:paraId="0F858183">
            <w:pPr>
              <w:jc w:val="left"/>
              <w:rPr>
                <w:rFonts w:ascii="宋体" w:hAnsi="宋体"/>
                <w:color w:val="000000"/>
                <w:kern w:val="0"/>
                <w:szCs w:val="21"/>
              </w:rPr>
            </w:pPr>
            <w:r>
              <w:rPr>
                <w:rFonts w:ascii="宋体" w:hAnsi="宋体"/>
                <w:color w:val="000000"/>
                <w:kern w:val="0"/>
                <w:szCs w:val="21"/>
              </w:rPr>
              <w:t>会议、检查</w:t>
            </w:r>
          </w:p>
        </w:tc>
        <w:tc>
          <w:tcPr>
            <w:tcW w:w="2444" w:type="dxa"/>
            <w:vAlign w:val="center"/>
          </w:tcPr>
          <w:p w14:paraId="175553A5">
            <w:pPr>
              <w:jc w:val="left"/>
              <w:rPr>
                <w:rFonts w:ascii="宋体" w:hAnsi="宋体"/>
                <w:color w:val="000000"/>
                <w:kern w:val="0"/>
                <w:szCs w:val="21"/>
              </w:rPr>
            </w:pPr>
            <w:r>
              <w:rPr>
                <w:rFonts w:ascii="宋体" w:hAnsi="宋体"/>
                <w:color w:val="000000"/>
                <w:kern w:val="0"/>
                <w:szCs w:val="21"/>
              </w:rPr>
              <w:t>管理委员会构成</w:t>
            </w:r>
          </w:p>
        </w:tc>
      </w:tr>
      <w:tr w14:paraId="2CA1A6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vAlign w:val="center"/>
          </w:tcPr>
          <w:p w14:paraId="3282CFEE">
            <w:pPr>
              <w:jc w:val="left"/>
              <w:rPr>
                <w:rFonts w:ascii="宋体" w:hAnsi="宋体"/>
                <w:b/>
                <w:szCs w:val="21"/>
              </w:rPr>
            </w:pPr>
          </w:p>
        </w:tc>
        <w:tc>
          <w:tcPr>
            <w:tcW w:w="1559" w:type="dxa"/>
            <w:vAlign w:val="center"/>
          </w:tcPr>
          <w:p w14:paraId="0191FC1B">
            <w:pPr>
              <w:jc w:val="left"/>
              <w:rPr>
                <w:rFonts w:ascii="宋体" w:hAnsi="宋体"/>
                <w:b/>
                <w:szCs w:val="21"/>
              </w:rPr>
            </w:pPr>
            <w:r>
              <w:rPr>
                <w:rFonts w:ascii="宋体" w:hAnsi="宋体"/>
                <w:color w:val="000000"/>
                <w:kern w:val="0"/>
                <w:szCs w:val="21"/>
              </w:rPr>
              <w:t>廉政、勤政</w:t>
            </w:r>
          </w:p>
        </w:tc>
        <w:tc>
          <w:tcPr>
            <w:tcW w:w="1768" w:type="dxa"/>
            <w:vMerge w:val="continue"/>
            <w:vAlign w:val="center"/>
          </w:tcPr>
          <w:p w14:paraId="508E9E09">
            <w:pPr>
              <w:jc w:val="left"/>
              <w:rPr>
                <w:rFonts w:ascii="宋体" w:hAnsi="宋体"/>
                <w:b/>
                <w:szCs w:val="21"/>
              </w:rPr>
            </w:pPr>
          </w:p>
        </w:tc>
        <w:tc>
          <w:tcPr>
            <w:tcW w:w="1650" w:type="dxa"/>
            <w:vAlign w:val="center"/>
          </w:tcPr>
          <w:p w14:paraId="5E465AA5">
            <w:pPr>
              <w:jc w:val="left"/>
              <w:rPr>
                <w:rFonts w:ascii="宋体" w:hAnsi="宋体"/>
                <w:b/>
                <w:szCs w:val="21"/>
              </w:rPr>
            </w:pPr>
            <w:r>
              <w:rPr>
                <w:rFonts w:ascii="宋体" w:hAnsi="宋体"/>
                <w:color w:val="000000"/>
                <w:kern w:val="0"/>
                <w:szCs w:val="21"/>
              </w:rPr>
              <w:t>投诉举报</w:t>
            </w:r>
            <w:r>
              <w:rPr>
                <w:rFonts w:hint="eastAsia" w:ascii="宋体" w:hAnsi="宋体"/>
                <w:color w:val="000000"/>
                <w:kern w:val="0"/>
                <w:szCs w:val="21"/>
              </w:rPr>
              <w:t>、</w:t>
            </w:r>
            <w:r>
              <w:rPr>
                <w:rFonts w:ascii="宋体" w:hAnsi="宋体"/>
                <w:kern w:val="0"/>
                <w:szCs w:val="21"/>
              </w:rPr>
              <w:t>签署《廉政协议》</w:t>
            </w:r>
          </w:p>
        </w:tc>
        <w:tc>
          <w:tcPr>
            <w:tcW w:w="2444" w:type="dxa"/>
            <w:vAlign w:val="center"/>
          </w:tcPr>
          <w:p w14:paraId="1B99D3D4">
            <w:pPr>
              <w:jc w:val="left"/>
              <w:rPr>
                <w:rFonts w:ascii="宋体" w:hAnsi="宋体"/>
                <w:b/>
                <w:szCs w:val="21"/>
              </w:rPr>
            </w:pPr>
            <w:r>
              <w:rPr>
                <w:rFonts w:ascii="宋体" w:hAnsi="宋体"/>
                <w:color w:val="000000"/>
                <w:kern w:val="0"/>
                <w:szCs w:val="21"/>
              </w:rPr>
              <w:t>违纪违法事件为零</w:t>
            </w:r>
          </w:p>
        </w:tc>
      </w:tr>
      <w:tr w14:paraId="717C04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restart"/>
            <w:vAlign w:val="center"/>
          </w:tcPr>
          <w:p w14:paraId="73764CE2">
            <w:pPr>
              <w:ind w:left="105" w:leftChars="50"/>
              <w:jc w:val="left"/>
              <w:rPr>
                <w:rFonts w:ascii="宋体" w:hAnsi="宋体"/>
                <w:color w:val="000000"/>
                <w:kern w:val="0"/>
                <w:szCs w:val="21"/>
              </w:rPr>
            </w:pPr>
            <w:r>
              <w:rPr>
                <w:rFonts w:ascii="宋体" w:hAnsi="宋体"/>
                <w:color w:val="000000"/>
                <w:kern w:val="0"/>
                <w:szCs w:val="21"/>
              </w:rPr>
              <w:t>公司中层干部及职能部门</w:t>
            </w:r>
          </w:p>
        </w:tc>
        <w:tc>
          <w:tcPr>
            <w:tcW w:w="1559" w:type="dxa"/>
            <w:vMerge w:val="restart"/>
            <w:vAlign w:val="center"/>
          </w:tcPr>
          <w:p w14:paraId="11B7CD27">
            <w:pPr>
              <w:jc w:val="left"/>
              <w:rPr>
                <w:rFonts w:ascii="宋体" w:hAnsi="宋体"/>
                <w:color w:val="000000"/>
                <w:kern w:val="0"/>
                <w:szCs w:val="21"/>
              </w:rPr>
            </w:pPr>
            <w:r>
              <w:rPr>
                <w:rFonts w:ascii="宋体" w:hAnsi="宋体"/>
                <w:color w:val="000000"/>
                <w:kern w:val="0"/>
                <w:szCs w:val="21"/>
              </w:rPr>
              <w:t>管理行为的公正性</w:t>
            </w:r>
          </w:p>
        </w:tc>
        <w:tc>
          <w:tcPr>
            <w:tcW w:w="1768" w:type="dxa"/>
            <w:vAlign w:val="center"/>
          </w:tcPr>
          <w:p w14:paraId="25CEE7EB">
            <w:pPr>
              <w:jc w:val="left"/>
              <w:rPr>
                <w:rFonts w:hint="eastAsia" w:ascii="宋体" w:hAnsi="宋体"/>
                <w:color w:val="000000"/>
                <w:kern w:val="0"/>
                <w:szCs w:val="21"/>
                <w:lang w:val="en-US" w:eastAsia="zh-CN"/>
              </w:rPr>
            </w:pPr>
            <w:r>
              <w:rPr>
                <w:rFonts w:hint="eastAsia" w:ascii="宋体" w:hAnsi="宋体"/>
                <w:color w:val="000000"/>
                <w:kern w:val="0"/>
                <w:szCs w:val="21"/>
                <w:lang w:val="en-US" w:eastAsia="zh-CN"/>
              </w:rPr>
              <w:t>办公室</w:t>
            </w:r>
          </w:p>
          <w:p w14:paraId="1593D51E">
            <w:pPr>
              <w:jc w:val="left"/>
              <w:rPr>
                <w:rFonts w:ascii="宋体" w:hAnsi="宋体"/>
                <w:color w:val="000000"/>
                <w:kern w:val="0"/>
                <w:szCs w:val="21"/>
              </w:rPr>
            </w:pPr>
            <w:r>
              <w:rPr>
                <w:rFonts w:hint="eastAsia" w:ascii="宋体" w:hAnsi="宋体"/>
                <w:color w:val="000000"/>
                <w:kern w:val="0"/>
                <w:szCs w:val="21"/>
              </w:rPr>
              <w:t>内审部</w:t>
            </w:r>
          </w:p>
        </w:tc>
        <w:tc>
          <w:tcPr>
            <w:tcW w:w="1650" w:type="dxa"/>
            <w:vAlign w:val="center"/>
          </w:tcPr>
          <w:p w14:paraId="629AAA26">
            <w:pPr>
              <w:jc w:val="left"/>
              <w:rPr>
                <w:rFonts w:ascii="宋体" w:hAnsi="宋体"/>
                <w:color w:val="000000"/>
                <w:kern w:val="0"/>
                <w:szCs w:val="21"/>
              </w:rPr>
            </w:pPr>
            <w:r>
              <w:rPr>
                <w:rFonts w:ascii="宋体" w:hAnsi="宋体"/>
                <w:color w:val="000000"/>
                <w:kern w:val="0"/>
                <w:szCs w:val="21"/>
              </w:rPr>
              <w:t>内部审计</w:t>
            </w:r>
          </w:p>
        </w:tc>
        <w:tc>
          <w:tcPr>
            <w:tcW w:w="2444" w:type="dxa"/>
            <w:vAlign w:val="center"/>
          </w:tcPr>
          <w:p w14:paraId="1E05BF89">
            <w:pPr>
              <w:jc w:val="left"/>
              <w:rPr>
                <w:rFonts w:ascii="宋体" w:hAnsi="宋体"/>
                <w:color w:val="000000"/>
                <w:kern w:val="0"/>
                <w:szCs w:val="21"/>
              </w:rPr>
            </w:pPr>
            <w:r>
              <w:rPr>
                <w:rFonts w:ascii="宋体" w:hAnsi="宋体"/>
                <w:color w:val="000000"/>
                <w:kern w:val="0"/>
                <w:szCs w:val="21"/>
              </w:rPr>
              <w:t>重大经营活动无违规</w:t>
            </w:r>
          </w:p>
        </w:tc>
      </w:tr>
      <w:tr w14:paraId="52E95F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vAlign w:val="center"/>
          </w:tcPr>
          <w:p w14:paraId="4C064F6C">
            <w:pPr>
              <w:jc w:val="left"/>
              <w:rPr>
                <w:rFonts w:ascii="宋体" w:hAnsi="宋体"/>
                <w:b/>
                <w:szCs w:val="21"/>
              </w:rPr>
            </w:pPr>
          </w:p>
        </w:tc>
        <w:tc>
          <w:tcPr>
            <w:tcW w:w="1559" w:type="dxa"/>
            <w:vMerge w:val="continue"/>
            <w:vAlign w:val="center"/>
          </w:tcPr>
          <w:p w14:paraId="677EC472">
            <w:pPr>
              <w:jc w:val="left"/>
              <w:rPr>
                <w:rFonts w:ascii="宋体" w:hAnsi="宋体"/>
                <w:b/>
                <w:szCs w:val="21"/>
              </w:rPr>
            </w:pPr>
          </w:p>
        </w:tc>
        <w:tc>
          <w:tcPr>
            <w:tcW w:w="1768" w:type="dxa"/>
            <w:vAlign w:val="center"/>
          </w:tcPr>
          <w:p w14:paraId="2FC04F62">
            <w:pPr>
              <w:jc w:val="left"/>
              <w:rPr>
                <w:rFonts w:ascii="宋体" w:hAnsi="宋体"/>
                <w:b/>
                <w:szCs w:val="21"/>
              </w:rPr>
            </w:pPr>
            <w:r>
              <w:rPr>
                <w:rFonts w:ascii="宋体" w:hAnsi="宋体"/>
                <w:color w:val="000000"/>
                <w:kern w:val="0"/>
                <w:szCs w:val="21"/>
              </w:rPr>
              <w:t>公司的合作伙伴</w:t>
            </w:r>
          </w:p>
        </w:tc>
        <w:tc>
          <w:tcPr>
            <w:tcW w:w="1650" w:type="dxa"/>
            <w:vAlign w:val="center"/>
          </w:tcPr>
          <w:p w14:paraId="2E41A2D6">
            <w:pPr>
              <w:jc w:val="left"/>
              <w:rPr>
                <w:rFonts w:ascii="宋体" w:hAnsi="宋体"/>
                <w:b/>
                <w:szCs w:val="21"/>
              </w:rPr>
            </w:pPr>
            <w:r>
              <w:rPr>
                <w:rFonts w:ascii="宋体" w:hAnsi="宋体"/>
                <w:color w:val="000000"/>
                <w:kern w:val="0"/>
                <w:szCs w:val="21"/>
              </w:rPr>
              <w:t>满意度测评</w:t>
            </w:r>
          </w:p>
        </w:tc>
        <w:tc>
          <w:tcPr>
            <w:tcW w:w="2444" w:type="dxa"/>
            <w:vAlign w:val="center"/>
          </w:tcPr>
          <w:p w14:paraId="2A905B60">
            <w:pPr>
              <w:jc w:val="left"/>
              <w:rPr>
                <w:rFonts w:ascii="宋体" w:hAnsi="宋体"/>
                <w:b/>
                <w:szCs w:val="21"/>
              </w:rPr>
            </w:pPr>
            <w:r>
              <w:rPr>
                <w:rFonts w:ascii="宋体" w:hAnsi="宋体"/>
                <w:color w:val="000000"/>
                <w:kern w:val="0"/>
                <w:szCs w:val="21"/>
              </w:rPr>
              <w:t>顾客满意度</w:t>
            </w:r>
          </w:p>
        </w:tc>
      </w:tr>
      <w:tr w14:paraId="6421F3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vAlign w:val="center"/>
          </w:tcPr>
          <w:p w14:paraId="401F8D7C">
            <w:pPr>
              <w:jc w:val="left"/>
              <w:rPr>
                <w:rFonts w:ascii="宋体" w:hAnsi="宋体"/>
                <w:b/>
                <w:szCs w:val="21"/>
              </w:rPr>
            </w:pPr>
          </w:p>
        </w:tc>
        <w:tc>
          <w:tcPr>
            <w:tcW w:w="1559" w:type="dxa"/>
            <w:vMerge w:val="continue"/>
            <w:vAlign w:val="center"/>
          </w:tcPr>
          <w:p w14:paraId="57BDB379">
            <w:pPr>
              <w:jc w:val="left"/>
              <w:rPr>
                <w:rFonts w:ascii="宋体" w:hAnsi="宋体"/>
                <w:b/>
                <w:szCs w:val="21"/>
              </w:rPr>
            </w:pPr>
          </w:p>
        </w:tc>
        <w:tc>
          <w:tcPr>
            <w:tcW w:w="1768" w:type="dxa"/>
            <w:vAlign w:val="center"/>
          </w:tcPr>
          <w:p w14:paraId="1309C719">
            <w:pPr>
              <w:jc w:val="left"/>
              <w:rPr>
                <w:rFonts w:ascii="宋体" w:hAnsi="宋体"/>
                <w:b/>
                <w:szCs w:val="21"/>
              </w:rPr>
            </w:pPr>
            <w:r>
              <w:rPr>
                <w:rFonts w:ascii="宋体" w:hAnsi="宋体"/>
                <w:color w:val="000000"/>
                <w:kern w:val="0"/>
                <w:szCs w:val="21"/>
              </w:rPr>
              <w:t>公司工会</w:t>
            </w:r>
          </w:p>
        </w:tc>
        <w:tc>
          <w:tcPr>
            <w:tcW w:w="1650" w:type="dxa"/>
            <w:vAlign w:val="center"/>
          </w:tcPr>
          <w:p w14:paraId="0CFB92E6">
            <w:pPr>
              <w:jc w:val="left"/>
              <w:rPr>
                <w:rFonts w:ascii="宋体" w:hAnsi="宋体"/>
                <w:b/>
                <w:szCs w:val="21"/>
              </w:rPr>
            </w:pPr>
            <w:r>
              <w:rPr>
                <w:rFonts w:ascii="宋体" w:hAnsi="宋体"/>
                <w:color w:val="000000"/>
                <w:kern w:val="0"/>
                <w:szCs w:val="21"/>
              </w:rPr>
              <w:t>监督和通报</w:t>
            </w:r>
          </w:p>
        </w:tc>
        <w:tc>
          <w:tcPr>
            <w:tcW w:w="2444" w:type="dxa"/>
            <w:vAlign w:val="center"/>
          </w:tcPr>
          <w:p w14:paraId="44A4D64B">
            <w:pPr>
              <w:jc w:val="left"/>
              <w:rPr>
                <w:rFonts w:ascii="宋体" w:hAnsi="宋体"/>
                <w:b/>
                <w:szCs w:val="21"/>
              </w:rPr>
            </w:pPr>
            <w:r>
              <w:rPr>
                <w:rFonts w:ascii="宋体" w:hAnsi="宋体"/>
                <w:color w:val="000000"/>
                <w:kern w:val="0"/>
                <w:szCs w:val="21"/>
              </w:rPr>
              <w:t>劳动合同履行率100%</w:t>
            </w:r>
          </w:p>
        </w:tc>
      </w:tr>
      <w:tr w14:paraId="046B00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vAlign w:val="center"/>
          </w:tcPr>
          <w:p w14:paraId="6FD88564">
            <w:pPr>
              <w:jc w:val="left"/>
              <w:rPr>
                <w:rFonts w:ascii="宋体" w:hAnsi="宋体"/>
                <w:b/>
                <w:szCs w:val="21"/>
              </w:rPr>
            </w:pPr>
          </w:p>
        </w:tc>
        <w:tc>
          <w:tcPr>
            <w:tcW w:w="1559" w:type="dxa"/>
            <w:vMerge w:val="restart"/>
            <w:vAlign w:val="center"/>
          </w:tcPr>
          <w:p w14:paraId="1E53C2B9">
            <w:pPr>
              <w:jc w:val="left"/>
              <w:rPr>
                <w:rFonts w:ascii="宋体" w:hAnsi="宋体"/>
                <w:b/>
                <w:szCs w:val="21"/>
              </w:rPr>
            </w:pPr>
            <w:r>
              <w:rPr>
                <w:rFonts w:ascii="宋体" w:hAnsi="宋体"/>
                <w:color w:val="000000"/>
                <w:kern w:val="0"/>
                <w:szCs w:val="21"/>
              </w:rPr>
              <w:t>生产经营活动的规范性</w:t>
            </w:r>
          </w:p>
        </w:tc>
        <w:tc>
          <w:tcPr>
            <w:tcW w:w="1768" w:type="dxa"/>
            <w:vAlign w:val="center"/>
          </w:tcPr>
          <w:p w14:paraId="284E6CEE">
            <w:pPr>
              <w:jc w:val="left"/>
              <w:rPr>
                <w:rFonts w:ascii="宋体" w:hAnsi="宋体"/>
                <w:b/>
                <w:szCs w:val="21"/>
              </w:rPr>
            </w:pPr>
            <w:r>
              <w:rPr>
                <w:rFonts w:ascii="宋体" w:hAnsi="宋体"/>
                <w:color w:val="000000"/>
                <w:kern w:val="0"/>
                <w:szCs w:val="21"/>
              </w:rPr>
              <w:t>税务部门</w:t>
            </w:r>
          </w:p>
        </w:tc>
        <w:tc>
          <w:tcPr>
            <w:tcW w:w="1650" w:type="dxa"/>
            <w:vAlign w:val="center"/>
          </w:tcPr>
          <w:p w14:paraId="3C72847E">
            <w:pPr>
              <w:jc w:val="left"/>
              <w:rPr>
                <w:rFonts w:ascii="宋体" w:hAnsi="宋体"/>
                <w:b/>
                <w:szCs w:val="21"/>
              </w:rPr>
            </w:pPr>
            <w:r>
              <w:rPr>
                <w:rFonts w:ascii="宋体" w:hAnsi="宋体"/>
                <w:color w:val="000000"/>
                <w:kern w:val="0"/>
                <w:szCs w:val="21"/>
              </w:rPr>
              <w:t>税务检查及评价</w:t>
            </w:r>
          </w:p>
        </w:tc>
        <w:tc>
          <w:tcPr>
            <w:tcW w:w="2444" w:type="dxa"/>
            <w:vAlign w:val="center"/>
          </w:tcPr>
          <w:p w14:paraId="4EB32CAD">
            <w:pPr>
              <w:jc w:val="left"/>
              <w:rPr>
                <w:rFonts w:ascii="宋体" w:hAnsi="宋体"/>
                <w:b/>
                <w:szCs w:val="21"/>
              </w:rPr>
            </w:pPr>
            <w:r>
              <w:rPr>
                <w:rFonts w:ascii="宋体" w:hAnsi="宋体"/>
                <w:color w:val="000000"/>
                <w:kern w:val="0"/>
                <w:szCs w:val="21"/>
              </w:rPr>
              <w:t>依法纳税</w:t>
            </w:r>
          </w:p>
        </w:tc>
      </w:tr>
      <w:tr w14:paraId="1A8E8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vAlign w:val="center"/>
          </w:tcPr>
          <w:p w14:paraId="4E5C76B9">
            <w:pPr>
              <w:jc w:val="left"/>
              <w:rPr>
                <w:rFonts w:ascii="宋体" w:hAnsi="宋体"/>
                <w:b/>
                <w:szCs w:val="21"/>
              </w:rPr>
            </w:pPr>
          </w:p>
        </w:tc>
        <w:tc>
          <w:tcPr>
            <w:tcW w:w="1559" w:type="dxa"/>
            <w:vMerge w:val="continue"/>
            <w:vAlign w:val="center"/>
          </w:tcPr>
          <w:p w14:paraId="03B4A413">
            <w:pPr>
              <w:jc w:val="left"/>
              <w:rPr>
                <w:rFonts w:ascii="宋体" w:hAnsi="宋体"/>
                <w:b/>
                <w:szCs w:val="21"/>
              </w:rPr>
            </w:pPr>
          </w:p>
        </w:tc>
        <w:tc>
          <w:tcPr>
            <w:tcW w:w="1768" w:type="dxa"/>
            <w:vAlign w:val="center"/>
          </w:tcPr>
          <w:p w14:paraId="72CBF1EC">
            <w:pPr>
              <w:jc w:val="left"/>
              <w:rPr>
                <w:rFonts w:ascii="宋体" w:hAnsi="宋体"/>
                <w:b/>
                <w:szCs w:val="21"/>
              </w:rPr>
            </w:pPr>
            <w:r>
              <w:rPr>
                <w:rFonts w:ascii="宋体" w:hAnsi="宋体"/>
                <w:color w:val="000000"/>
                <w:kern w:val="0"/>
                <w:szCs w:val="21"/>
              </w:rPr>
              <w:t>银行</w:t>
            </w:r>
          </w:p>
        </w:tc>
        <w:tc>
          <w:tcPr>
            <w:tcW w:w="1650" w:type="dxa"/>
            <w:vAlign w:val="center"/>
          </w:tcPr>
          <w:p w14:paraId="715709A7">
            <w:pPr>
              <w:jc w:val="left"/>
              <w:rPr>
                <w:rFonts w:ascii="宋体" w:hAnsi="宋体"/>
                <w:b/>
                <w:szCs w:val="21"/>
              </w:rPr>
            </w:pPr>
            <w:r>
              <w:rPr>
                <w:rFonts w:ascii="宋体" w:hAnsi="宋体"/>
                <w:color w:val="000000"/>
                <w:kern w:val="0"/>
                <w:szCs w:val="21"/>
              </w:rPr>
              <w:t>银行信用评价</w:t>
            </w:r>
          </w:p>
        </w:tc>
        <w:tc>
          <w:tcPr>
            <w:tcW w:w="2444" w:type="dxa"/>
            <w:vAlign w:val="center"/>
          </w:tcPr>
          <w:p w14:paraId="61A22586">
            <w:pPr>
              <w:jc w:val="left"/>
              <w:rPr>
                <w:rFonts w:ascii="宋体" w:hAnsi="宋体"/>
                <w:b/>
                <w:szCs w:val="21"/>
              </w:rPr>
            </w:pPr>
            <w:r>
              <w:rPr>
                <w:rFonts w:ascii="宋体" w:hAnsi="宋体"/>
                <w:color w:val="000000"/>
                <w:kern w:val="0"/>
                <w:szCs w:val="21"/>
              </w:rPr>
              <w:t>按时还贷</w:t>
            </w:r>
          </w:p>
        </w:tc>
      </w:tr>
      <w:tr w14:paraId="794BF0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vAlign w:val="center"/>
          </w:tcPr>
          <w:p w14:paraId="2F7A5EE9">
            <w:pPr>
              <w:jc w:val="left"/>
              <w:rPr>
                <w:rFonts w:ascii="宋体" w:hAnsi="宋体"/>
                <w:b/>
                <w:szCs w:val="21"/>
              </w:rPr>
            </w:pPr>
          </w:p>
        </w:tc>
        <w:tc>
          <w:tcPr>
            <w:tcW w:w="1559" w:type="dxa"/>
            <w:vMerge w:val="continue"/>
            <w:vAlign w:val="center"/>
          </w:tcPr>
          <w:p w14:paraId="7425A9E2">
            <w:pPr>
              <w:jc w:val="left"/>
              <w:rPr>
                <w:rFonts w:ascii="宋体" w:hAnsi="宋体"/>
                <w:b/>
                <w:szCs w:val="21"/>
              </w:rPr>
            </w:pPr>
          </w:p>
        </w:tc>
        <w:tc>
          <w:tcPr>
            <w:tcW w:w="1768" w:type="dxa"/>
            <w:vAlign w:val="center"/>
          </w:tcPr>
          <w:p w14:paraId="70582EEF">
            <w:pPr>
              <w:jc w:val="left"/>
              <w:rPr>
                <w:rFonts w:ascii="宋体" w:hAnsi="宋体"/>
                <w:b/>
                <w:szCs w:val="21"/>
              </w:rPr>
            </w:pPr>
            <w:r>
              <w:rPr>
                <w:rFonts w:ascii="宋体" w:hAnsi="宋体"/>
                <w:color w:val="000000"/>
                <w:kern w:val="0"/>
                <w:szCs w:val="21"/>
              </w:rPr>
              <w:t>有关主管部门</w:t>
            </w:r>
          </w:p>
        </w:tc>
        <w:tc>
          <w:tcPr>
            <w:tcW w:w="1650" w:type="dxa"/>
            <w:vAlign w:val="center"/>
          </w:tcPr>
          <w:p w14:paraId="762A75F0">
            <w:pPr>
              <w:jc w:val="left"/>
              <w:rPr>
                <w:rFonts w:ascii="宋体" w:hAnsi="宋体"/>
                <w:b/>
                <w:szCs w:val="21"/>
              </w:rPr>
            </w:pPr>
            <w:r>
              <w:rPr>
                <w:rFonts w:ascii="宋体" w:hAnsi="宋体"/>
                <w:color w:val="000000"/>
                <w:kern w:val="0"/>
                <w:szCs w:val="21"/>
              </w:rPr>
              <w:t>财务检查</w:t>
            </w:r>
          </w:p>
        </w:tc>
        <w:tc>
          <w:tcPr>
            <w:tcW w:w="2444" w:type="dxa"/>
            <w:vAlign w:val="center"/>
          </w:tcPr>
          <w:p w14:paraId="29682D12">
            <w:pPr>
              <w:jc w:val="left"/>
              <w:rPr>
                <w:rFonts w:ascii="宋体" w:hAnsi="宋体"/>
                <w:b/>
                <w:szCs w:val="21"/>
              </w:rPr>
            </w:pPr>
            <w:r>
              <w:rPr>
                <w:rFonts w:ascii="宋体" w:hAnsi="宋体"/>
                <w:color w:val="000000"/>
                <w:kern w:val="0"/>
                <w:szCs w:val="21"/>
              </w:rPr>
              <w:t>财务报表100%客观真实</w:t>
            </w:r>
          </w:p>
        </w:tc>
      </w:tr>
      <w:tr w14:paraId="34EDF6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vAlign w:val="center"/>
          </w:tcPr>
          <w:p w14:paraId="11E580C2">
            <w:pPr>
              <w:jc w:val="left"/>
              <w:rPr>
                <w:rFonts w:ascii="宋体" w:hAnsi="宋体"/>
                <w:b/>
                <w:szCs w:val="21"/>
              </w:rPr>
            </w:pPr>
          </w:p>
        </w:tc>
        <w:tc>
          <w:tcPr>
            <w:tcW w:w="1559" w:type="dxa"/>
            <w:vMerge w:val="continue"/>
            <w:vAlign w:val="center"/>
          </w:tcPr>
          <w:p w14:paraId="67022C2B">
            <w:pPr>
              <w:jc w:val="left"/>
              <w:rPr>
                <w:rFonts w:ascii="宋体" w:hAnsi="宋体"/>
                <w:b/>
                <w:szCs w:val="21"/>
              </w:rPr>
            </w:pPr>
          </w:p>
        </w:tc>
        <w:tc>
          <w:tcPr>
            <w:tcW w:w="1768" w:type="dxa"/>
            <w:vAlign w:val="center"/>
          </w:tcPr>
          <w:p w14:paraId="140F9BCB">
            <w:pPr>
              <w:jc w:val="left"/>
              <w:rPr>
                <w:rFonts w:ascii="宋体" w:hAnsi="宋体"/>
                <w:b/>
                <w:szCs w:val="21"/>
              </w:rPr>
            </w:pPr>
            <w:r>
              <w:rPr>
                <w:rFonts w:ascii="宋体" w:hAnsi="宋体"/>
                <w:color w:val="000000"/>
                <w:kern w:val="0"/>
                <w:szCs w:val="21"/>
              </w:rPr>
              <w:t>合作伙伴</w:t>
            </w:r>
          </w:p>
        </w:tc>
        <w:tc>
          <w:tcPr>
            <w:tcW w:w="1650" w:type="dxa"/>
            <w:vAlign w:val="center"/>
          </w:tcPr>
          <w:p w14:paraId="2D2D448C">
            <w:pPr>
              <w:jc w:val="left"/>
              <w:rPr>
                <w:rFonts w:ascii="宋体" w:hAnsi="宋体"/>
                <w:b/>
                <w:szCs w:val="21"/>
              </w:rPr>
            </w:pPr>
            <w:r>
              <w:rPr>
                <w:rFonts w:ascii="宋体" w:hAnsi="宋体"/>
                <w:color w:val="000000"/>
                <w:kern w:val="0"/>
                <w:szCs w:val="21"/>
              </w:rPr>
              <w:t>合同兑现</w:t>
            </w:r>
          </w:p>
        </w:tc>
        <w:tc>
          <w:tcPr>
            <w:tcW w:w="2444" w:type="dxa"/>
            <w:vAlign w:val="center"/>
          </w:tcPr>
          <w:p w14:paraId="7943BB44">
            <w:pPr>
              <w:jc w:val="left"/>
              <w:rPr>
                <w:rFonts w:ascii="宋体" w:hAnsi="宋体"/>
                <w:b/>
                <w:szCs w:val="21"/>
              </w:rPr>
            </w:pPr>
            <w:r>
              <w:rPr>
                <w:rFonts w:ascii="宋体" w:hAnsi="宋体"/>
                <w:color w:val="000000"/>
                <w:kern w:val="0"/>
                <w:szCs w:val="21"/>
              </w:rPr>
              <w:t>合同兑现率100%</w:t>
            </w:r>
          </w:p>
        </w:tc>
      </w:tr>
      <w:tr w14:paraId="03EC4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Align w:val="center"/>
          </w:tcPr>
          <w:p w14:paraId="3007113B">
            <w:pPr>
              <w:ind w:firstLine="105" w:firstLineChars="50"/>
              <w:jc w:val="left"/>
              <w:rPr>
                <w:rFonts w:ascii="宋体" w:hAnsi="宋体"/>
                <w:color w:val="000000"/>
                <w:kern w:val="0"/>
                <w:szCs w:val="21"/>
              </w:rPr>
            </w:pPr>
            <w:r>
              <w:rPr>
                <w:rFonts w:ascii="宋体" w:hAnsi="宋体"/>
                <w:color w:val="000000"/>
                <w:kern w:val="0"/>
                <w:szCs w:val="21"/>
              </w:rPr>
              <w:t>公司</w:t>
            </w:r>
          </w:p>
          <w:p w14:paraId="3D6E15AF">
            <w:pPr>
              <w:ind w:firstLine="105" w:firstLineChars="50"/>
              <w:jc w:val="left"/>
              <w:rPr>
                <w:rFonts w:ascii="宋体" w:hAnsi="宋体"/>
                <w:color w:val="000000"/>
                <w:kern w:val="0"/>
                <w:szCs w:val="21"/>
              </w:rPr>
            </w:pPr>
            <w:r>
              <w:rPr>
                <w:rFonts w:ascii="宋体" w:hAnsi="宋体"/>
                <w:color w:val="000000"/>
                <w:kern w:val="0"/>
                <w:szCs w:val="21"/>
              </w:rPr>
              <w:t>员工</w:t>
            </w:r>
          </w:p>
        </w:tc>
        <w:tc>
          <w:tcPr>
            <w:tcW w:w="1559" w:type="dxa"/>
            <w:vAlign w:val="center"/>
          </w:tcPr>
          <w:p w14:paraId="5B95F9BE">
            <w:pPr>
              <w:jc w:val="left"/>
              <w:rPr>
                <w:rFonts w:ascii="宋体" w:hAnsi="宋体"/>
                <w:color w:val="000000"/>
                <w:kern w:val="0"/>
                <w:szCs w:val="21"/>
              </w:rPr>
            </w:pPr>
            <w:r>
              <w:rPr>
                <w:rFonts w:ascii="宋体" w:hAnsi="宋体"/>
                <w:color w:val="000000"/>
                <w:kern w:val="0"/>
                <w:szCs w:val="21"/>
              </w:rPr>
              <w:t>日常行为</w:t>
            </w:r>
          </w:p>
        </w:tc>
        <w:tc>
          <w:tcPr>
            <w:tcW w:w="1768" w:type="dxa"/>
            <w:vAlign w:val="center"/>
          </w:tcPr>
          <w:p w14:paraId="3BDAD92F">
            <w:pPr>
              <w:jc w:val="left"/>
              <w:rPr>
                <w:rFonts w:ascii="宋体" w:hAnsi="宋体"/>
                <w:color w:val="000000"/>
                <w:kern w:val="0"/>
                <w:szCs w:val="21"/>
              </w:rPr>
            </w:pPr>
            <w:r>
              <w:rPr>
                <w:rFonts w:hint="eastAsia" w:ascii="宋体" w:hAnsi="宋体"/>
                <w:color w:val="000000"/>
                <w:kern w:val="0"/>
                <w:szCs w:val="21"/>
              </w:rPr>
              <w:t>人力资源部、生产部、技术部等</w:t>
            </w:r>
          </w:p>
        </w:tc>
        <w:tc>
          <w:tcPr>
            <w:tcW w:w="1650" w:type="dxa"/>
            <w:vAlign w:val="center"/>
          </w:tcPr>
          <w:p w14:paraId="41D1F132">
            <w:pPr>
              <w:jc w:val="left"/>
              <w:rPr>
                <w:rFonts w:ascii="宋体" w:hAnsi="宋体"/>
                <w:color w:val="000000"/>
                <w:kern w:val="0"/>
                <w:szCs w:val="21"/>
              </w:rPr>
            </w:pPr>
            <w:r>
              <w:rPr>
                <w:rFonts w:ascii="宋体" w:hAnsi="宋体"/>
                <w:color w:val="000000"/>
                <w:kern w:val="0"/>
                <w:szCs w:val="21"/>
              </w:rPr>
              <w:t>定期检查、违纪处理</w:t>
            </w:r>
          </w:p>
        </w:tc>
        <w:tc>
          <w:tcPr>
            <w:tcW w:w="2444" w:type="dxa"/>
            <w:vAlign w:val="center"/>
          </w:tcPr>
          <w:p w14:paraId="22602579">
            <w:pPr>
              <w:jc w:val="left"/>
              <w:rPr>
                <w:rFonts w:ascii="宋体" w:hAnsi="宋体"/>
                <w:color w:val="000000"/>
                <w:kern w:val="0"/>
                <w:szCs w:val="21"/>
              </w:rPr>
            </w:pPr>
            <w:r>
              <w:rPr>
                <w:rFonts w:ascii="宋体" w:hAnsi="宋体"/>
                <w:color w:val="000000"/>
                <w:kern w:val="0"/>
                <w:szCs w:val="21"/>
              </w:rPr>
              <w:t>杜绝不文明行为</w:t>
            </w:r>
          </w:p>
        </w:tc>
      </w:tr>
    </w:tbl>
    <w:p w14:paraId="669B01A1">
      <w:pPr>
        <w:pStyle w:val="141"/>
        <w:adjustRightInd w:val="0"/>
        <w:spacing w:before="156" w:beforeLines="50" w:line="312" w:lineRule="auto"/>
        <w:ind w:firstLine="422" w:firstLineChars="200"/>
        <w:rPr>
          <w:rFonts w:ascii="宋体" w:hAnsi="宋体"/>
          <w:b/>
          <w:szCs w:val="21"/>
        </w:rPr>
      </w:pPr>
      <w:bookmarkStart w:id="19" w:name="_Toc455415336"/>
      <w:r>
        <w:rPr>
          <w:rFonts w:hint="eastAsia" w:ascii="宋体" w:hAnsi="宋体"/>
          <w:b/>
          <w:szCs w:val="21"/>
        </w:rPr>
        <w:t>（3）道德行为方面的绩效结果</w:t>
      </w:r>
      <w:bookmarkEnd w:id="19"/>
    </w:p>
    <w:p w14:paraId="20D1FE1F">
      <w:pPr>
        <w:spacing w:line="312" w:lineRule="auto"/>
        <w:ind w:firstLine="420" w:firstLineChars="200"/>
        <w:rPr>
          <w:rFonts w:ascii="宋体" w:hAnsi="宋体" w:cs="宋体"/>
          <w:szCs w:val="21"/>
        </w:rPr>
      </w:pPr>
      <w:r>
        <w:rPr>
          <w:rFonts w:hint="eastAsia" w:ascii="宋体" w:hAnsi="宋体" w:cs="宋体"/>
          <w:szCs w:val="21"/>
        </w:rPr>
        <w:t>公司一直以来坚持诚信为本，依法经营，信守职业道德，树立了良好的商业信用和道德形象，获得顾客、供应商、政府、质监、工商、税务、银行等的广泛好评，赢得了社会各界高度认可。公司先后获得政府、工商、财税、环保、质监等部门颁发的各类奖项。</w:t>
      </w:r>
    </w:p>
    <w:p w14:paraId="361DE2E3">
      <w:pPr>
        <w:adjustRightInd w:val="0"/>
        <w:spacing w:before="156" w:beforeLines="50"/>
        <w:jc w:val="center"/>
        <w:rPr>
          <w:rFonts w:ascii="宋体" w:hAnsi="宋体"/>
          <w:b/>
          <w:szCs w:val="21"/>
        </w:rPr>
      </w:pPr>
      <w:r>
        <w:rPr>
          <w:rFonts w:hint="eastAsia" w:ascii="宋体" w:hAnsi="宋体"/>
          <w:b/>
          <w:szCs w:val="21"/>
        </w:rPr>
        <w:t>图表19</w:t>
      </w:r>
      <w:r>
        <w:rPr>
          <w:rFonts w:ascii="宋体" w:hAnsi="宋体"/>
          <w:b/>
          <w:szCs w:val="21"/>
        </w:rPr>
        <w:t xml:space="preserve"> 道德行为相关结果</w:t>
      </w:r>
    </w:p>
    <w:tbl>
      <w:tblPr>
        <w:tblStyle w:val="88"/>
        <w:tblW w:w="876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418"/>
        <w:gridCol w:w="2268"/>
        <w:gridCol w:w="1268"/>
        <w:gridCol w:w="1268"/>
        <w:gridCol w:w="1270"/>
      </w:tblGrid>
      <w:tr w14:paraId="0C0269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blHeader/>
        </w:trPr>
        <w:tc>
          <w:tcPr>
            <w:tcW w:w="1276" w:type="dxa"/>
            <w:tcBorders>
              <w:tl2br w:val="nil"/>
              <w:tr2bl w:val="nil"/>
            </w:tcBorders>
            <w:shd w:val="clear" w:color="auto" w:fill="DCE6F2" w:themeFill="accent1" w:themeFillTint="32"/>
            <w:vAlign w:val="center"/>
          </w:tcPr>
          <w:p w14:paraId="0401E3D6">
            <w:pPr>
              <w:tabs>
                <w:tab w:val="center" w:pos="4153"/>
                <w:tab w:val="right" w:pos="8306"/>
              </w:tabs>
              <w:snapToGrid w:val="0"/>
              <w:jc w:val="center"/>
              <w:rPr>
                <w:rFonts w:ascii="宋体" w:hAnsi="宋体" w:cs="Arial"/>
                <w:b/>
                <w:szCs w:val="21"/>
              </w:rPr>
            </w:pPr>
            <w:r>
              <w:rPr>
                <w:rFonts w:ascii="宋体" w:hAnsi="宋体" w:cs="Arial"/>
                <w:b/>
                <w:szCs w:val="21"/>
              </w:rPr>
              <w:t>类型</w:t>
            </w:r>
          </w:p>
        </w:tc>
        <w:tc>
          <w:tcPr>
            <w:tcW w:w="1418" w:type="dxa"/>
            <w:tcBorders>
              <w:tl2br w:val="nil"/>
              <w:tr2bl w:val="nil"/>
            </w:tcBorders>
            <w:shd w:val="clear" w:color="auto" w:fill="DCE6F2" w:themeFill="accent1" w:themeFillTint="32"/>
            <w:vAlign w:val="center"/>
          </w:tcPr>
          <w:p w14:paraId="3A231612">
            <w:pPr>
              <w:tabs>
                <w:tab w:val="center" w:pos="4153"/>
                <w:tab w:val="right" w:pos="8306"/>
              </w:tabs>
              <w:snapToGrid w:val="0"/>
              <w:jc w:val="center"/>
              <w:rPr>
                <w:rFonts w:ascii="宋体" w:hAnsi="宋体" w:cs="Arial"/>
                <w:b/>
                <w:szCs w:val="21"/>
              </w:rPr>
            </w:pPr>
            <w:r>
              <w:rPr>
                <w:rFonts w:ascii="宋体" w:hAnsi="宋体" w:cs="Arial"/>
                <w:b/>
                <w:szCs w:val="21"/>
              </w:rPr>
              <w:t>监督对象</w:t>
            </w:r>
          </w:p>
        </w:tc>
        <w:tc>
          <w:tcPr>
            <w:tcW w:w="2268" w:type="dxa"/>
            <w:tcBorders>
              <w:tl2br w:val="nil"/>
              <w:tr2bl w:val="nil"/>
            </w:tcBorders>
            <w:shd w:val="clear" w:color="auto" w:fill="DCE6F2" w:themeFill="accent1" w:themeFillTint="32"/>
            <w:vAlign w:val="center"/>
          </w:tcPr>
          <w:p w14:paraId="7733663A">
            <w:pPr>
              <w:tabs>
                <w:tab w:val="center" w:pos="4153"/>
                <w:tab w:val="right" w:pos="8306"/>
              </w:tabs>
              <w:snapToGrid w:val="0"/>
              <w:jc w:val="center"/>
              <w:rPr>
                <w:rFonts w:ascii="宋体" w:hAnsi="宋体" w:cs="Arial"/>
                <w:b/>
                <w:szCs w:val="21"/>
              </w:rPr>
            </w:pPr>
            <w:r>
              <w:rPr>
                <w:rFonts w:ascii="宋体" w:hAnsi="宋体" w:cs="Arial"/>
                <w:b/>
                <w:szCs w:val="21"/>
              </w:rPr>
              <w:t>项目</w:t>
            </w:r>
          </w:p>
        </w:tc>
        <w:tc>
          <w:tcPr>
            <w:tcW w:w="1268" w:type="dxa"/>
            <w:tcBorders>
              <w:tl2br w:val="nil"/>
              <w:tr2bl w:val="nil"/>
            </w:tcBorders>
            <w:shd w:val="clear" w:color="auto" w:fill="DCE6F2" w:themeFill="accent1" w:themeFillTint="32"/>
            <w:vAlign w:val="center"/>
          </w:tcPr>
          <w:p w14:paraId="56FD4A53">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202</w:t>
            </w:r>
            <w:r>
              <w:rPr>
                <w:rFonts w:hint="eastAsia" w:asciiTheme="minorEastAsia" w:hAnsiTheme="minorEastAsia" w:eastAsiaTheme="minorEastAsia"/>
                <w:b/>
                <w:bCs/>
                <w:sz w:val="21"/>
                <w:lang w:val="en-US" w:eastAsia="zh-CN"/>
              </w:rPr>
              <w:t>3</w:t>
            </w:r>
            <w:r>
              <w:rPr>
                <w:rFonts w:hint="eastAsia" w:asciiTheme="minorEastAsia" w:hAnsiTheme="minorEastAsia" w:eastAsiaTheme="minorEastAsia"/>
                <w:b/>
                <w:bCs/>
                <w:sz w:val="21"/>
              </w:rPr>
              <w:t>年</w:t>
            </w:r>
          </w:p>
        </w:tc>
        <w:tc>
          <w:tcPr>
            <w:tcW w:w="1268" w:type="dxa"/>
            <w:tcBorders>
              <w:tl2br w:val="nil"/>
              <w:tr2bl w:val="nil"/>
            </w:tcBorders>
            <w:shd w:val="clear" w:color="auto" w:fill="DCE6F2" w:themeFill="accent1" w:themeFillTint="32"/>
            <w:vAlign w:val="center"/>
          </w:tcPr>
          <w:p w14:paraId="2C211A6D">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202</w:t>
            </w:r>
            <w:r>
              <w:rPr>
                <w:rFonts w:hint="eastAsia" w:asciiTheme="minorEastAsia" w:hAnsiTheme="minorEastAsia" w:eastAsiaTheme="minorEastAsia"/>
                <w:b/>
                <w:bCs/>
                <w:sz w:val="21"/>
                <w:lang w:val="en-US" w:eastAsia="zh-CN"/>
              </w:rPr>
              <w:t>4</w:t>
            </w:r>
            <w:r>
              <w:rPr>
                <w:rFonts w:hint="eastAsia" w:asciiTheme="minorEastAsia" w:hAnsiTheme="minorEastAsia" w:eastAsiaTheme="minorEastAsia"/>
                <w:b/>
                <w:bCs/>
                <w:sz w:val="21"/>
              </w:rPr>
              <w:t>年</w:t>
            </w:r>
          </w:p>
        </w:tc>
        <w:tc>
          <w:tcPr>
            <w:tcW w:w="1270" w:type="dxa"/>
            <w:tcBorders>
              <w:tl2br w:val="nil"/>
              <w:tr2bl w:val="nil"/>
            </w:tcBorders>
            <w:shd w:val="clear" w:color="auto" w:fill="DCE6F2" w:themeFill="accent1" w:themeFillTint="32"/>
            <w:vAlign w:val="center"/>
          </w:tcPr>
          <w:p w14:paraId="451A09E0">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lang w:eastAsia="zh-CN"/>
              </w:rPr>
              <w:t>202</w:t>
            </w:r>
            <w:r>
              <w:rPr>
                <w:rFonts w:hint="eastAsia" w:asciiTheme="minorEastAsia" w:hAnsiTheme="minorEastAsia" w:eastAsiaTheme="minorEastAsia"/>
                <w:b/>
                <w:bCs/>
                <w:sz w:val="21"/>
                <w:lang w:val="en-US" w:eastAsia="zh-CN"/>
              </w:rPr>
              <w:t>5</w:t>
            </w:r>
            <w:r>
              <w:rPr>
                <w:rFonts w:hint="eastAsia" w:asciiTheme="minorEastAsia" w:hAnsiTheme="minorEastAsia" w:eastAsiaTheme="minorEastAsia"/>
                <w:b/>
                <w:bCs/>
                <w:sz w:val="21"/>
              </w:rPr>
              <w:t>年</w:t>
            </w:r>
          </w:p>
        </w:tc>
      </w:tr>
      <w:tr w14:paraId="50F052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6" w:type="dxa"/>
            <w:vMerge w:val="restart"/>
            <w:tcBorders>
              <w:tl2br w:val="nil"/>
              <w:tr2bl w:val="nil"/>
            </w:tcBorders>
            <w:vAlign w:val="center"/>
          </w:tcPr>
          <w:p w14:paraId="08E62DBA">
            <w:pPr>
              <w:adjustRightInd w:val="0"/>
              <w:snapToGrid w:val="0"/>
              <w:spacing w:line="276" w:lineRule="auto"/>
              <w:ind w:left="35" w:leftChars="-100" w:hanging="245" w:hangingChars="117"/>
              <w:jc w:val="center"/>
              <w:rPr>
                <w:rFonts w:ascii="宋体" w:hAnsi="宋体"/>
                <w:color w:val="000000"/>
                <w:kern w:val="0"/>
                <w:szCs w:val="21"/>
              </w:rPr>
            </w:pPr>
            <w:r>
              <w:rPr>
                <w:rFonts w:hint="eastAsia" w:ascii="宋体" w:hAnsi="宋体"/>
                <w:color w:val="000000"/>
                <w:kern w:val="0"/>
                <w:szCs w:val="21"/>
              </w:rPr>
              <w:t xml:space="preserve"> </w:t>
            </w:r>
            <w:r>
              <w:rPr>
                <w:rFonts w:ascii="宋体" w:hAnsi="宋体"/>
                <w:color w:val="000000"/>
                <w:kern w:val="0"/>
                <w:szCs w:val="21"/>
              </w:rPr>
              <w:t>组织内部</w:t>
            </w:r>
          </w:p>
        </w:tc>
        <w:tc>
          <w:tcPr>
            <w:tcW w:w="1418" w:type="dxa"/>
            <w:vMerge w:val="restart"/>
            <w:tcBorders>
              <w:tl2br w:val="nil"/>
              <w:tr2bl w:val="nil"/>
            </w:tcBorders>
            <w:vAlign w:val="center"/>
          </w:tcPr>
          <w:p w14:paraId="400B6DC1">
            <w:pPr>
              <w:adjustRightInd w:val="0"/>
              <w:snapToGrid w:val="0"/>
              <w:spacing w:line="276" w:lineRule="auto"/>
              <w:ind w:left="246" w:hanging="245" w:hangingChars="117"/>
              <w:jc w:val="center"/>
              <w:rPr>
                <w:rFonts w:ascii="宋体" w:hAnsi="宋体"/>
                <w:color w:val="000000"/>
                <w:kern w:val="0"/>
                <w:szCs w:val="21"/>
              </w:rPr>
            </w:pPr>
            <w:r>
              <w:rPr>
                <w:rFonts w:ascii="宋体" w:hAnsi="宋体"/>
                <w:color w:val="000000"/>
                <w:kern w:val="0"/>
                <w:szCs w:val="21"/>
              </w:rPr>
              <w:t>公司高层</w:t>
            </w:r>
            <w:r>
              <w:rPr>
                <w:rFonts w:hint="eastAsia" w:ascii="宋体" w:hAnsi="宋体"/>
                <w:color w:val="000000"/>
                <w:kern w:val="0"/>
                <w:szCs w:val="21"/>
              </w:rPr>
              <w:t>、</w:t>
            </w:r>
          </w:p>
          <w:p w14:paraId="4689019E">
            <w:pPr>
              <w:adjustRightInd w:val="0"/>
              <w:snapToGrid w:val="0"/>
              <w:spacing w:line="276" w:lineRule="auto"/>
              <w:ind w:firstLine="210" w:firstLineChars="100"/>
              <w:rPr>
                <w:rFonts w:ascii="宋体" w:hAnsi="宋体"/>
                <w:color w:val="000000"/>
                <w:kern w:val="0"/>
                <w:szCs w:val="21"/>
              </w:rPr>
            </w:pPr>
            <w:r>
              <w:rPr>
                <w:rFonts w:ascii="宋体" w:hAnsi="宋体"/>
                <w:color w:val="000000"/>
                <w:kern w:val="0"/>
                <w:szCs w:val="21"/>
              </w:rPr>
              <w:t>中层</w:t>
            </w:r>
          </w:p>
        </w:tc>
        <w:tc>
          <w:tcPr>
            <w:tcW w:w="2268" w:type="dxa"/>
            <w:tcBorders>
              <w:tl2br w:val="nil"/>
              <w:tr2bl w:val="nil"/>
            </w:tcBorders>
            <w:vAlign w:val="center"/>
          </w:tcPr>
          <w:p w14:paraId="190C9CBF">
            <w:pPr>
              <w:adjustRightInd w:val="0"/>
              <w:snapToGrid w:val="0"/>
              <w:ind w:left="246" w:right="325" w:rightChars="155" w:hanging="245" w:hangingChars="117"/>
              <w:jc w:val="center"/>
              <w:rPr>
                <w:rFonts w:ascii="宋体" w:hAnsi="宋体"/>
                <w:color w:val="000000"/>
                <w:kern w:val="0"/>
                <w:szCs w:val="21"/>
              </w:rPr>
            </w:pPr>
            <w:r>
              <w:rPr>
                <w:rFonts w:ascii="宋体" w:hAnsi="宋体"/>
                <w:color w:val="000000"/>
                <w:kern w:val="0"/>
                <w:szCs w:val="21"/>
              </w:rPr>
              <w:t>违纪违法事件（件）</w:t>
            </w:r>
          </w:p>
        </w:tc>
        <w:tc>
          <w:tcPr>
            <w:tcW w:w="1268" w:type="dxa"/>
            <w:tcBorders>
              <w:tl2br w:val="nil"/>
              <w:tr2bl w:val="nil"/>
            </w:tcBorders>
            <w:vAlign w:val="center"/>
          </w:tcPr>
          <w:p w14:paraId="105EEC08">
            <w:pPr>
              <w:adjustRightInd w:val="0"/>
              <w:snapToGrid w:val="0"/>
              <w:ind w:left="36" w:leftChars="17"/>
              <w:jc w:val="center"/>
              <w:rPr>
                <w:rFonts w:ascii="宋体" w:hAnsi="宋体"/>
                <w:color w:val="000000"/>
                <w:szCs w:val="21"/>
              </w:rPr>
            </w:pPr>
            <w:r>
              <w:rPr>
                <w:rFonts w:ascii="宋体" w:hAnsi="宋体"/>
                <w:color w:val="000000"/>
                <w:szCs w:val="21"/>
              </w:rPr>
              <w:t>0</w:t>
            </w:r>
          </w:p>
        </w:tc>
        <w:tc>
          <w:tcPr>
            <w:tcW w:w="1268" w:type="dxa"/>
            <w:tcBorders>
              <w:tl2br w:val="nil"/>
              <w:tr2bl w:val="nil"/>
            </w:tcBorders>
            <w:vAlign w:val="center"/>
          </w:tcPr>
          <w:p w14:paraId="7D8BB039">
            <w:pPr>
              <w:adjustRightInd w:val="0"/>
              <w:snapToGrid w:val="0"/>
              <w:ind w:left="36" w:leftChars="17"/>
              <w:jc w:val="center"/>
              <w:rPr>
                <w:rFonts w:ascii="宋体" w:hAnsi="宋体"/>
                <w:color w:val="000000"/>
                <w:szCs w:val="21"/>
              </w:rPr>
            </w:pPr>
            <w:r>
              <w:rPr>
                <w:rFonts w:ascii="宋体" w:hAnsi="宋体"/>
                <w:color w:val="000000"/>
                <w:szCs w:val="21"/>
              </w:rPr>
              <w:t>0</w:t>
            </w:r>
          </w:p>
        </w:tc>
        <w:tc>
          <w:tcPr>
            <w:tcW w:w="1270" w:type="dxa"/>
            <w:tcBorders>
              <w:tl2br w:val="nil"/>
              <w:tr2bl w:val="nil"/>
            </w:tcBorders>
            <w:vAlign w:val="center"/>
          </w:tcPr>
          <w:p w14:paraId="4993A2C0">
            <w:pPr>
              <w:adjustRightInd w:val="0"/>
              <w:snapToGrid w:val="0"/>
              <w:ind w:left="36" w:leftChars="17"/>
              <w:jc w:val="center"/>
              <w:rPr>
                <w:rFonts w:ascii="宋体" w:hAnsi="宋体"/>
                <w:color w:val="000000"/>
                <w:szCs w:val="21"/>
              </w:rPr>
            </w:pPr>
            <w:r>
              <w:rPr>
                <w:rFonts w:ascii="宋体" w:hAnsi="宋体"/>
                <w:color w:val="000000"/>
                <w:szCs w:val="21"/>
              </w:rPr>
              <w:t>0</w:t>
            </w:r>
          </w:p>
        </w:tc>
      </w:tr>
      <w:tr w14:paraId="2621D9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6" w:type="dxa"/>
            <w:vMerge w:val="continue"/>
            <w:tcBorders>
              <w:tl2br w:val="nil"/>
              <w:tr2bl w:val="nil"/>
            </w:tcBorders>
            <w:vAlign w:val="center"/>
          </w:tcPr>
          <w:p w14:paraId="37FC74AA">
            <w:pPr>
              <w:adjustRightInd w:val="0"/>
              <w:snapToGrid w:val="0"/>
              <w:spacing w:line="276" w:lineRule="auto"/>
              <w:ind w:left="246" w:right="325" w:rightChars="155" w:hanging="245" w:hangingChars="117"/>
              <w:jc w:val="center"/>
              <w:rPr>
                <w:rFonts w:ascii="宋体" w:hAnsi="宋体"/>
                <w:color w:val="000000"/>
                <w:kern w:val="0"/>
                <w:szCs w:val="21"/>
              </w:rPr>
            </w:pPr>
          </w:p>
        </w:tc>
        <w:tc>
          <w:tcPr>
            <w:tcW w:w="1418" w:type="dxa"/>
            <w:vMerge w:val="continue"/>
            <w:tcBorders>
              <w:tl2br w:val="nil"/>
              <w:tr2bl w:val="nil"/>
            </w:tcBorders>
            <w:vAlign w:val="center"/>
          </w:tcPr>
          <w:p w14:paraId="513CD5A0">
            <w:pPr>
              <w:adjustRightInd w:val="0"/>
              <w:snapToGrid w:val="0"/>
              <w:spacing w:line="276" w:lineRule="auto"/>
              <w:ind w:left="246" w:right="325" w:rightChars="155" w:hanging="245" w:hangingChars="117"/>
              <w:jc w:val="center"/>
              <w:rPr>
                <w:rFonts w:ascii="宋体" w:hAnsi="宋体"/>
                <w:color w:val="000000"/>
                <w:kern w:val="0"/>
                <w:szCs w:val="21"/>
              </w:rPr>
            </w:pPr>
          </w:p>
        </w:tc>
        <w:tc>
          <w:tcPr>
            <w:tcW w:w="2268" w:type="dxa"/>
            <w:tcBorders>
              <w:tl2br w:val="nil"/>
              <w:tr2bl w:val="nil"/>
            </w:tcBorders>
            <w:vAlign w:val="center"/>
          </w:tcPr>
          <w:p w14:paraId="26BAA050">
            <w:pPr>
              <w:adjustRightInd w:val="0"/>
              <w:snapToGrid w:val="0"/>
              <w:ind w:left="31" w:hanging="31" w:hangingChars="15"/>
              <w:jc w:val="center"/>
              <w:rPr>
                <w:rFonts w:ascii="宋体" w:hAnsi="宋体"/>
                <w:color w:val="000000"/>
                <w:kern w:val="0"/>
                <w:szCs w:val="21"/>
              </w:rPr>
            </w:pPr>
            <w:r>
              <w:rPr>
                <w:rFonts w:ascii="宋体" w:hAnsi="宋体"/>
                <w:color w:val="000000"/>
                <w:kern w:val="0"/>
                <w:szCs w:val="21"/>
              </w:rPr>
              <w:t>重大经营活动无违规（件）</w:t>
            </w:r>
          </w:p>
        </w:tc>
        <w:tc>
          <w:tcPr>
            <w:tcW w:w="1268" w:type="dxa"/>
            <w:tcBorders>
              <w:tl2br w:val="nil"/>
              <w:tr2bl w:val="nil"/>
            </w:tcBorders>
            <w:vAlign w:val="center"/>
          </w:tcPr>
          <w:p w14:paraId="7BE8EEF3">
            <w:pPr>
              <w:adjustRightInd w:val="0"/>
              <w:snapToGrid w:val="0"/>
              <w:ind w:left="36" w:leftChars="17"/>
              <w:jc w:val="center"/>
              <w:rPr>
                <w:rFonts w:ascii="宋体" w:hAnsi="宋体"/>
                <w:color w:val="000000"/>
                <w:szCs w:val="21"/>
              </w:rPr>
            </w:pPr>
            <w:r>
              <w:rPr>
                <w:rFonts w:ascii="宋体" w:hAnsi="宋体"/>
                <w:color w:val="000000"/>
                <w:szCs w:val="21"/>
              </w:rPr>
              <w:t>0</w:t>
            </w:r>
          </w:p>
        </w:tc>
        <w:tc>
          <w:tcPr>
            <w:tcW w:w="1268" w:type="dxa"/>
            <w:tcBorders>
              <w:tl2br w:val="nil"/>
              <w:tr2bl w:val="nil"/>
            </w:tcBorders>
            <w:vAlign w:val="center"/>
          </w:tcPr>
          <w:p w14:paraId="072B9831">
            <w:pPr>
              <w:adjustRightInd w:val="0"/>
              <w:snapToGrid w:val="0"/>
              <w:ind w:left="36" w:leftChars="17"/>
              <w:jc w:val="center"/>
              <w:rPr>
                <w:rFonts w:ascii="宋体" w:hAnsi="宋体"/>
                <w:color w:val="000000"/>
                <w:szCs w:val="21"/>
              </w:rPr>
            </w:pPr>
            <w:r>
              <w:rPr>
                <w:rFonts w:ascii="宋体" w:hAnsi="宋体"/>
                <w:color w:val="000000"/>
                <w:szCs w:val="21"/>
              </w:rPr>
              <w:t>0</w:t>
            </w:r>
          </w:p>
        </w:tc>
        <w:tc>
          <w:tcPr>
            <w:tcW w:w="1270" w:type="dxa"/>
            <w:tcBorders>
              <w:tl2br w:val="nil"/>
              <w:tr2bl w:val="nil"/>
            </w:tcBorders>
            <w:vAlign w:val="center"/>
          </w:tcPr>
          <w:p w14:paraId="27A5F13C">
            <w:pPr>
              <w:adjustRightInd w:val="0"/>
              <w:snapToGrid w:val="0"/>
              <w:ind w:left="36" w:leftChars="17"/>
              <w:jc w:val="center"/>
              <w:rPr>
                <w:rFonts w:ascii="宋体" w:hAnsi="宋体"/>
                <w:color w:val="000000"/>
                <w:szCs w:val="21"/>
              </w:rPr>
            </w:pPr>
            <w:r>
              <w:rPr>
                <w:rFonts w:ascii="宋体" w:hAnsi="宋体"/>
                <w:color w:val="000000"/>
                <w:szCs w:val="21"/>
              </w:rPr>
              <w:t>0</w:t>
            </w:r>
          </w:p>
        </w:tc>
      </w:tr>
      <w:tr w14:paraId="5E697E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6" w:type="dxa"/>
            <w:vMerge w:val="restart"/>
            <w:tcBorders>
              <w:tl2br w:val="nil"/>
              <w:tr2bl w:val="nil"/>
            </w:tcBorders>
            <w:vAlign w:val="center"/>
          </w:tcPr>
          <w:p w14:paraId="303B7E0B">
            <w:pPr>
              <w:adjustRightInd w:val="0"/>
              <w:snapToGrid w:val="0"/>
              <w:spacing w:line="276" w:lineRule="auto"/>
              <w:ind w:left="33" w:leftChars="-51" w:right="31" w:rightChars="15" w:hanging="140" w:hangingChars="67"/>
              <w:jc w:val="center"/>
              <w:rPr>
                <w:rFonts w:ascii="宋体" w:hAnsi="宋体"/>
                <w:color w:val="000000"/>
                <w:kern w:val="0"/>
                <w:szCs w:val="21"/>
              </w:rPr>
            </w:pPr>
            <w:r>
              <w:rPr>
                <w:rFonts w:hint="eastAsia" w:ascii="宋体" w:hAnsi="宋体"/>
                <w:color w:val="000000"/>
                <w:kern w:val="0"/>
                <w:szCs w:val="21"/>
              </w:rPr>
              <w:t xml:space="preserve">  </w:t>
            </w:r>
            <w:r>
              <w:rPr>
                <w:rFonts w:ascii="宋体" w:hAnsi="宋体"/>
                <w:color w:val="000000"/>
                <w:kern w:val="0"/>
                <w:szCs w:val="21"/>
              </w:rPr>
              <w:t>组织外部</w:t>
            </w:r>
          </w:p>
        </w:tc>
        <w:tc>
          <w:tcPr>
            <w:tcW w:w="1418" w:type="dxa"/>
            <w:tcBorders>
              <w:tl2br w:val="nil"/>
              <w:tr2bl w:val="nil"/>
            </w:tcBorders>
            <w:vAlign w:val="center"/>
          </w:tcPr>
          <w:p w14:paraId="6C6689A3">
            <w:pPr>
              <w:adjustRightInd w:val="0"/>
              <w:snapToGrid w:val="0"/>
              <w:spacing w:line="276" w:lineRule="auto"/>
              <w:ind w:left="34" w:leftChars="16"/>
              <w:jc w:val="center"/>
              <w:rPr>
                <w:rFonts w:ascii="宋体" w:hAnsi="宋体"/>
                <w:color w:val="000000"/>
                <w:kern w:val="0"/>
                <w:szCs w:val="21"/>
              </w:rPr>
            </w:pPr>
            <w:r>
              <w:rPr>
                <w:rFonts w:ascii="宋体" w:hAnsi="宋体"/>
                <w:color w:val="000000"/>
                <w:kern w:val="0"/>
                <w:szCs w:val="21"/>
              </w:rPr>
              <w:t>顾客</w:t>
            </w:r>
          </w:p>
        </w:tc>
        <w:tc>
          <w:tcPr>
            <w:tcW w:w="2268" w:type="dxa"/>
            <w:tcBorders>
              <w:tl2br w:val="nil"/>
              <w:tr2bl w:val="nil"/>
            </w:tcBorders>
            <w:vAlign w:val="center"/>
          </w:tcPr>
          <w:p w14:paraId="288DB288">
            <w:pPr>
              <w:adjustRightInd w:val="0"/>
              <w:snapToGrid w:val="0"/>
              <w:ind w:left="246" w:right="325" w:rightChars="155" w:hanging="245" w:hangingChars="117"/>
              <w:jc w:val="center"/>
              <w:rPr>
                <w:rFonts w:ascii="宋体" w:hAnsi="宋体"/>
                <w:color w:val="000000"/>
                <w:kern w:val="0"/>
                <w:szCs w:val="21"/>
              </w:rPr>
            </w:pPr>
            <w:r>
              <w:rPr>
                <w:rFonts w:hint="eastAsia" w:ascii="宋体" w:hAnsi="宋体"/>
                <w:color w:val="000000"/>
                <w:kern w:val="0"/>
                <w:szCs w:val="21"/>
              </w:rPr>
              <w:t>合同</w:t>
            </w:r>
            <w:r>
              <w:rPr>
                <w:rFonts w:ascii="宋体" w:hAnsi="宋体"/>
                <w:color w:val="000000"/>
                <w:kern w:val="0"/>
                <w:szCs w:val="21"/>
              </w:rPr>
              <w:t>履约率（%）</w:t>
            </w:r>
          </w:p>
        </w:tc>
        <w:tc>
          <w:tcPr>
            <w:tcW w:w="1268" w:type="dxa"/>
            <w:tcBorders>
              <w:tl2br w:val="nil"/>
              <w:tr2bl w:val="nil"/>
            </w:tcBorders>
            <w:vAlign w:val="center"/>
          </w:tcPr>
          <w:p w14:paraId="2A613DDB">
            <w:pPr>
              <w:adjustRightInd w:val="0"/>
              <w:snapToGrid w:val="0"/>
              <w:ind w:left="36" w:leftChars="17"/>
              <w:jc w:val="center"/>
              <w:rPr>
                <w:rFonts w:ascii="宋体" w:hAnsi="宋体"/>
                <w:color w:val="000000"/>
                <w:szCs w:val="21"/>
              </w:rPr>
            </w:pPr>
            <w:r>
              <w:rPr>
                <w:rFonts w:ascii="宋体" w:hAnsi="宋体"/>
                <w:color w:val="000000"/>
                <w:szCs w:val="21"/>
              </w:rPr>
              <w:t>100</w:t>
            </w:r>
          </w:p>
        </w:tc>
        <w:tc>
          <w:tcPr>
            <w:tcW w:w="1268" w:type="dxa"/>
            <w:tcBorders>
              <w:tl2br w:val="nil"/>
              <w:tr2bl w:val="nil"/>
            </w:tcBorders>
            <w:vAlign w:val="center"/>
          </w:tcPr>
          <w:p w14:paraId="5D36CD50">
            <w:pPr>
              <w:adjustRightInd w:val="0"/>
              <w:snapToGrid w:val="0"/>
              <w:ind w:left="36" w:leftChars="17"/>
              <w:jc w:val="center"/>
              <w:rPr>
                <w:rFonts w:ascii="宋体" w:hAnsi="宋体"/>
                <w:color w:val="000000"/>
                <w:szCs w:val="21"/>
              </w:rPr>
            </w:pPr>
            <w:r>
              <w:rPr>
                <w:rFonts w:ascii="宋体" w:hAnsi="宋体"/>
                <w:color w:val="000000"/>
                <w:szCs w:val="21"/>
              </w:rPr>
              <w:t>100</w:t>
            </w:r>
          </w:p>
        </w:tc>
        <w:tc>
          <w:tcPr>
            <w:tcW w:w="1270" w:type="dxa"/>
            <w:tcBorders>
              <w:tl2br w:val="nil"/>
              <w:tr2bl w:val="nil"/>
            </w:tcBorders>
            <w:vAlign w:val="center"/>
          </w:tcPr>
          <w:p w14:paraId="04CE1F8C">
            <w:pPr>
              <w:adjustRightInd w:val="0"/>
              <w:snapToGrid w:val="0"/>
              <w:ind w:left="36" w:leftChars="17"/>
              <w:jc w:val="center"/>
              <w:rPr>
                <w:rFonts w:ascii="宋体" w:hAnsi="宋体"/>
                <w:color w:val="000000"/>
                <w:szCs w:val="21"/>
              </w:rPr>
            </w:pPr>
            <w:r>
              <w:rPr>
                <w:rFonts w:ascii="宋体" w:hAnsi="宋体"/>
                <w:color w:val="000000"/>
                <w:szCs w:val="21"/>
              </w:rPr>
              <w:t>100</w:t>
            </w:r>
          </w:p>
        </w:tc>
      </w:tr>
      <w:tr w14:paraId="426027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6" w:type="dxa"/>
            <w:vMerge w:val="continue"/>
            <w:tcBorders>
              <w:tl2br w:val="nil"/>
              <w:tr2bl w:val="nil"/>
            </w:tcBorders>
            <w:vAlign w:val="center"/>
          </w:tcPr>
          <w:p w14:paraId="75F1D11B">
            <w:pPr>
              <w:adjustRightInd w:val="0"/>
              <w:snapToGrid w:val="0"/>
              <w:spacing w:line="276" w:lineRule="auto"/>
              <w:ind w:left="246" w:right="325" w:rightChars="155" w:hanging="245" w:hangingChars="117"/>
              <w:jc w:val="center"/>
              <w:rPr>
                <w:rFonts w:ascii="宋体" w:hAnsi="宋体"/>
                <w:color w:val="000000"/>
                <w:kern w:val="0"/>
                <w:szCs w:val="21"/>
              </w:rPr>
            </w:pPr>
          </w:p>
        </w:tc>
        <w:tc>
          <w:tcPr>
            <w:tcW w:w="1418" w:type="dxa"/>
            <w:vMerge w:val="restart"/>
            <w:tcBorders>
              <w:tl2br w:val="nil"/>
              <w:tr2bl w:val="nil"/>
            </w:tcBorders>
            <w:vAlign w:val="center"/>
          </w:tcPr>
          <w:p w14:paraId="047766D5">
            <w:pPr>
              <w:adjustRightInd w:val="0"/>
              <w:snapToGrid w:val="0"/>
              <w:spacing w:line="276" w:lineRule="auto"/>
              <w:ind w:left="34" w:leftChars="16"/>
              <w:jc w:val="center"/>
              <w:rPr>
                <w:rFonts w:ascii="宋体" w:hAnsi="宋体"/>
                <w:color w:val="000000"/>
                <w:kern w:val="0"/>
                <w:szCs w:val="21"/>
              </w:rPr>
            </w:pPr>
            <w:r>
              <w:rPr>
                <w:rFonts w:ascii="宋体" w:hAnsi="宋体"/>
                <w:color w:val="000000"/>
                <w:kern w:val="0"/>
                <w:szCs w:val="21"/>
              </w:rPr>
              <w:t>政府</w:t>
            </w:r>
          </w:p>
        </w:tc>
        <w:tc>
          <w:tcPr>
            <w:tcW w:w="2268" w:type="dxa"/>
            <w:tcBorders>
              <w:tl2br w:val="nil"/>
              <w:tr2bl w:val="nil"/>
            </w:tcBorders>
            <w:vAlign w:val="center"/>
          </w:tcPr>
          <w:p w14:paraId="1EC5885F">
            <w:pPr>
              <w:adjustRightInd w:val="0"/>
              <w:snapToGrid w:val="0"/>
              <w:ind w:left="246" w:right="325" w:rightChars="155" w:hanging="245" w:hangingChars="117"/>
              <w:jc w:val="center"/>
              <w:rPr>
                <w:rFonts w:ascii="宋体" w:hAnsi="宋体"/>
                <w:color w:val="000000"/>
                <w:kern w:val="0"/>
                <w:szCs w:val="21"/>
              </w:rPr>
            </w:pPr>
            <w:r>
              <w:rPr>
                <w:rFonts w:ascii="宋体" w:hAnsi="宋体"/>
                <w:color w:val="000000"/>
                <w:kern w:val="0"/>
                <w:szCs w:val="21"/>
              </w:rPr>
              <w:t>按时纳税（%）</w:t>
            </w:r>
          </w:p>
        </w:tc>
        <w:tc>
          <w:tcPr>
            <w:tcW w:w="1268" w:type="dxa"/>
            <w:tcBorders>
              <w:tl2br w:val="nil"/>
              <w:tr2bl w:val="nil"/>
            </w:tcBorders>
            <w:vAlign w:val="center"/>
          </w:tcPr>
          <w:p w14:paraId="5E33CBFE">
            <w:pPr>
              <w:adjustRightInd w:val="0"/>
              <w:snapToGrid w:val="0"/>
              <w:ind w:left="36" w:leftChars="17"/>
              <w:jc w:val="center"/>
              <w:rPr>
                <w:rFonts w:ascii="宋体" w:hAnsi="宋体"/>
                <w:color w:val="000000"/>
                <w:szCs w:val="21"/>
              </w:rPr>
            </w:pPr>
            <w:r>
              <w:rPr>
                <w:rFonts w:ascii="宋体" w:hAnsi="宋体"/>
                <w:color w:val="000000"/>
                <w:szCs w:val="21"/>
              </w:rPr>
              <w:t>100</w:t>
            </w:r>
          </w:p>
        </w:tc>
        <w:tc>
          <w:tcPr>
            <w:tcW w:w="1268" w:type="dxa"/>
            <w:tcBorders>
              <w:tl2br w:val="nil"/>
              <w:tr2bl w:val="nil"/>
            </w:tcBorders>
            <w:vAlign w:val="center"/>
          </w:tcPr>
          <w:p w14:paraId="5293E3A0">
            <w:pPr>
              <w:adjustRightInd w:val="0"/>
              <w:snapToGrid w:val="0"/>
              <w:ind w:left="36" w:leftChars="17"/>
              <w:jc w:val="center"/>
              <w:rPr>
                <w:rFonts w:ascii="宋体" w:hAnsi="宋体"/>
                <w:color w:val="000000"/>
                <w:szCs w:val="21"/>
              </w:rPr>
            </w:pPr>
            <w:r>
              <w:rPr>
                <w:rFonts w:ascii="宋体" w:hAnsi="宋体"/>
                <w:color w:val="000000"/>
                <w:szCs w:val="21"/>
              </w:rPr>
              <w:t>100</w:t>
            </w:r>
          </w:p>
        </w:tc>
        <w:tc>
          <w:tcPr>
            <w:tcW w:w="1270" w:type="dxa"/>
            <w:tcBorders>
              <w:tl2br w:val="nil"/>
              <w:tr2bl w:val="nil"/>
            </w:tcBorders>
            <w:vAlign w:val="center"/>
          </w:tcPr>
          <w:p w14:paraId="1ADC5566">
            <w:pPr>
              <w:adjustRightInd w:val="0"/>
              <w:snapToGrid w:val="0"/>
              <w:ind w:left="36" w:leftChars="17"/>
              <w:jc w:val="center"/>
              <w:rPr>
                <w:rFonts w:ascii="宋体" w:hAnsi="宋体"/>
                <w:color w:val="000000"/>
                <w:szCs w:val="21"/>
              </w:rPr>
            </w:pPr>
            <w:r>
              <w:rPr>
                <w:rFonts w:ascii="宋体" w:hAnsi="宋体"/>
                <w:color w:val="000000"/>
                <w:szCs w:val="21"/>
              </w:rPr>
              <w:t>100</w:t>
            </w:r>
          </w:p>
        </w:tc>
      </w:tr>
      <w:tr w14:paraId="03C6B9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6" w:type="dxa"/>
            <w:vMerge w:val="continue"/>
            <w:tcBorders>
              <w:tl2br w:val="nil"/>
              <w:tr2bl w:val="nil"/>
            </w:tcBorders>
            <w:vAlign w:val="center"/>
          </w:tcPr>
          <w:p w14:paraId="07C0B6D1">
            <w:pPr>
              <w:adjustRightInd w:val="0"/>
              <w:snapToGrid w:val="0"/>
              <w:spacing w:line="276" w:lineRule="auto"/>
              <w:ind w:left="246" w:right="325" w:rightChars="155" w:hanging="245" w:hangingChars="117"/>
              <w:jc w:val="center"/>
              <w:rPr>
                <w:rFonts w:ascii="宋体" w:hAnsi="宋体"/>
                <w:color w:val="000000"/>
                <w:kern w:val="0"/>
                <w:szCs w:val="21"/>
              </w:rPr>
            </w:pPr>
          </w:p>
        </w:tc>
        <w:tc>
          <w:tcPr>
            <w:tcW w:w="1418" w:type="dxa"/>
            <w:vMerge w:val="continue"/>
            <w:tcBorders>
              <w:tl2br w:val="nil"/>
              <w:tr2bl w:val="nil"/>
            </w:tcBorders>
            <w:vAlign w:val="center"/>
          </w:tcPr>
          <w:p w14:paraId="6E2BE48E">
            <w:pPr>
              <w:adjustRightInd w:val="0"/>
              <w:snapToGrid w:val="0"/>
              <w:spacing w:line="276" w:lineRule="auto"/>
              <w:ind w:left="246" w:right="325" w:rightChars="155" w:hanging="245" w:hangingChars="117"/>
              <w:jc w:val="center"/>
              <w:rPr>
                <w:rFonts w:ascii="宋体" w:hAnsi="宋体"/>
                <w:color w:val="000000"/>
                <w:kern w:val="0"/>
                <w:szCs w:val="21"/>
              </w:rPr>
            </w:pPr>
          </w:p>
        </w:tc>
        <w:tc>
          <w:tcPr>
            <w:tcW w:w="2268" w:type="dxa"/>
            <w:tcBorders>
              <w:tl2br w:val="nil"/>
              <w:tr2bl w:val="nil"/>
            </w:tcBorders>
            <w:vAlign w:val="center"/>
          </w:tcPr>
          <w:p w14:paraId="6D771EDF">
            <w:pPr>
              <w:adjustRightInd w:val="0"/>
              <w:snapToGrid w:val="0"/>
              <w:ind w:left="246" w:right="325" w:rightChars="155" w:hanging="245" w:hangingChars="117"/>
              <w:jc w:val="center"/>
              <w:rPr>
                <w:rFonts w:ascii="宋体" w:hAnsi="宋体"/>
                <w:color w:val="000000"/>
                <w:kern w:val="0"/>
                <w:szCs w:val="21"/>
              </w:rPr>
            </w:pPr>
            <w:r>
              <w:rPr>
                <w:rFonts w:ascii="宋体" w:hAnsi="宋体"/>
                <w:color w:val="000000"/>
                <w:kern w:val="0"/>
                <w:szCs w:val="21"/>
              </w:rPr>
              <w:t>依法纳税</w:t>
            </w:r>
            <w:r>
              <w:rPr>
                <w:rFonts w:ascii="宋体" w:hAnsi="宋体"/>
                <w:color w:val="000000"/>
                <w:szCs w:val="21"/>
              </w:rPr>
              <w:t>（%）</w:t>
            </w:r>
          </w:p>
        </w:tc>
        <w:tc>
          <w:tcPr>
            <w:tcW w:w="1268" w:type="dxa"/>
            <w:tcBorders>
              <w:tl2br w:val="nil"/>
              <w:tr2bl w:val="nil"/>
            </w:tcBorders>
            <w:vAlign w:val="center"/>
          </w:tcPr>
          <w:p w14:paraId="522C0A85">
            <w:pPr>
              <w:adjustRightInd w:val="0"/>
              <w:snapToGrid w:val="0"/>
              <w:ind w:left="36" w:leftChars="17"/>
              <w:jc w:val="center"/>
              <w:rPr>
                <w:rFonts w:ascii="宋体" w:hAnsi="宋体"/>
                <w:color w:val="000000"/>
                <w:szCs w:val="21"/>
              </w:rPr>
            </w:pPr>
            <w:r>
              <w:rPr>
                <w:rFonts w:ascii="宋体" w:hAnsi="宋体"/>
                <w:color w:val="000000"/>
                <w:szCs w:val="21"/>
              </w:rPr>
              <w:t>100</w:t>
            </w:r>
          </w:p>
        </w:tc>
        <w:tc>
          <w:tcPr>
            <w:tcW w:w="1268" w:type="dxa"/>
            <w:tcBorders>
              <w:tl2br w:val="nil"/>
              <w:tr2bl w:val="nil"/>
            </w:tcBorders>
            <w:vAlign w:val="center"/>
          </w:tcPr>
          <w:p w14:paraId="62B930A2">
            <w:pPr>
              <w:adjustRightInd w:val="0"/>
              <w:snapToGrid w:val="0"/>
              <w:ind w:left="36" w:leftChars="17"/>
              <w:jc w:val="center"/>
              <w:rPr>
                <w:rFonts w:ascii="宋体" w:hAnsi="宋体"/>
                <w:color w:val="000000"/>
                <w:szCs w:val="21"/>
              </w:rPr>
            </w:pPr>
            <w:r>
              <w:rPr>
                <w:rFonts w:ascii="宋体" w:hAnsi="宋体"/>
                <w:color w:val="000000"/>
                <w:szCs w:val="21"/>
              </w:rPr>
              <w:t>100</w:t>
            </w:r>
          </w:p>
        </w:tc>
        <w:tc>
          <w:tcPr>
            <w:tcW w:w="1270" w:type="dxa"/>
            <w:tcBorders>
              <w:tl2br w:val="nil"/>
              <w:tr2bl w:val="nil"/>
            </w:tcBorders>
            <w:vAlign w:val="center"/>
          </w:tcPr>
          <w:p w14:paraId="5D15DD90">
            <w:pPr>
              <w:adjustRightInd w:val="0"/>
              <w:snapToGrid w:val="0"/>
              <w:ind w:left="36" w:leftChars="17"/>
              <w:jc w:val="center"/>
              <w:rPr>
                <w:rFonts w:ascii="宋体" w:hAnsi="宋体"/>
                <w:color w:val="000000"/>
                <w:szCs w:val="21"/>
              </w:rPr>
            </w:pPr>
            <w:r>
              <w:rPr>
                <w:rFonts w:ascii="宋体" w:hAnsi="宋体"/>
                <w:color w:val="000000"/>
                <w:szCs w:val="21"/>
              </w:rPr>
              <w:t>100</w:t>
            </w:r>
          </w:p>
        </w:tc>
      </w:tr>
    </w:tbl>
    <w:p w14:paraId="35ED8391">
      <w:pPr>
        <w:pStyle w:val="141"/>
        <w:adjustRightInd w:val="0"/>
        <w:spacing w:before="156" w:beforeLines="50" w:line="360" w:lineRule="auto"/>
        <w:ind w:left="282" w:right="325" w:rightChars="155" w:hanging="282" w:hangingChars="117"/>
        <w:outlineLvl w:val="1"/>
        <w:rPr>
          <w:rFonts w:ascii="宋体" w:hAnsi="宋体"/>
          <w:b/>
          <w:sz w:val="24"/>
        </w:rPr>
      </w:pPr>
      <w:bookmarkStart w:id="20" w:name="_Toc27687"/>
      <w:r>
        <w:rPr>
          <w:rFonts w:hint="eastAsia" w:ascii="宋体" w:hAnsi="宋体"/>
          <w:b/>
          <w:sz w:val="24"/>
        </w:rPr>
        <w:t>7、公益支持</w:t>
      </w:r>
      <w:bookmarkEnd w:id="20"/>
    </w:p>
    <w:p w14:paraId="2FCF45B0">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积极投身公益事业，爱心回报社会。在企业发展的同时，时刻牢记奉献社会，造福一方，勇于承担社会责任。在董事长的影响下，公司员工踊跃参与各项公益事业。见下表。</w:t>
      </w:r>
    </w:p>
    <w:p w14:paraId="32CA7F71">
      <w:pPr>
        <w:spacing w:line="360" w:lineRule="auto"/>
        <w:ind w:left="359" w:leftChars="171" w:firstLine="316" w:firstLineChars="150"/>
        <w:jc w:val="center"/>
        <w:rPr>
          <w:rFonts w:ascii="宋体" w:hAnsi="宋体"/>
          <w:color w:val="0000FF"/>
          <w:sz w:val="28"/>
          <w:szCs w:val="28"/>
          <w:highlight w:val="yellow"/>
        </w:rPr>
      </w:pPr>
      <w:r>
        <w:rPr>
          <w:rFonts w:hint="eastAsia" w:asciiTheme="minorEastAsia" w:hAnsiTheme="minorEastAsia" w:eastAsiaTheme="minorEastAsia" w:cstheme="minorEastAsia"/>
          <w:b/>
          <w:bCs/>
          <w:color w:val="0000FF"/>
          <w:szCs w:val="21"/>
        </w:rPr>
        <w:t>图表20 近三年公司慈善捐款及公益活动情况</w:t>
      </w:r>
    </w:p>
    <w:tbl>
      <w:tblPr>
        <w:tblStyle w:val="88"/>
        <w:tblW w:w="8647"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68"/>
        <w:gridCol w:w="3746"/>
        <w:gridCol w:w="2633"/>
      </w:tblGrid>
      <w:tr w14:paraId="05616A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tblHeader/>
        </w:trPr>
        <w:tc>
          <w:tcPr>
            <w:tcW w:w="2268" w:type="dxa"/>
            <w:shd w:val="clear" w:color="auto" w:fill="DBE5F1"/>
            <w:vAlign w:val="center"/>
          </w:tcPr>
          <w:p w14:paraId="4C9C27A3">
            <w:pPr>
              <w:spacing w:line="240" w:lineRule="atLeast"/>
              <w:jc w:val="center"/>
              <w:rPr>
                <w:rFonts w:ascii="宋体" w:hAnsi="宋体"/>
                <w:b/>
                <w:bCs/>
                <w:color w:val="000000"/>
                <w:szCs w:val="21"/>
              </w:rPr>
            </w:pPr>
            <w:r>
              <w:rPr>
                <w:rFonts w:hint="eastAsia" w:ascii="宋体" w:hAnsi="宋体"/>
                <w:b/>
                <w:bCs/>
                <w:color w:val="000000"/>
                <w:szCs w:val="21"/>
              </w:rPr>
              <w:t>支持领域名称</w:t>
            </w:r>
          </w:p>
        </w:tc>
        <w:tc>
          <w:tcPr>
            <w:tcW w:w="3746" w:type="dxa"/>
            <w:shd w:val="clear" w:color="auto" w:fill="DBE5F1"/>
            <w:vAlign w:val="center"/>
          </w:tcPr>
          <w:p w14:paraId="79FA14E8">
            <w:pPr>
              <w:spacing w:line="240" w:lineRule="atLeast"/>
              <w:jc w:val="center"/>
              <w:rPr>
                <w:rFonts w:ascii="宋体" w:hAnsi="宋体"/>
                <w:b/>
                <w:bCs/>
                <w:color w:val="000000"/>
                <w:szCs w:val="21"/>
              </w:rPr>
            </w:pPr>
            <w:r>
              <w:rPr>
                <w:rFonts w:hint="eastAsia" w:ascii="宋体" w:hAnsi="宋体"/>
                <w:b/>
                <w:bCs/>
                <w:color w:val="000000"/>
                <w:szCs w:val="21"/>
              </w:rPr>
              <w:t>支持内容</w:t>
            </w:r>
          </w:p>
        </w:tc>
        <w:tc>
          <w:tcPr>
            <w:tcW w:w="2633" w:type="dxa"/>
            <w:shd w:val="clear" w:color="auto" w:fill="DBE5F1"/>
            <w:vAlign w:val="center"/>
          </w:tcPr>
          <w:p w14:paraId="5A6F0867">
            <w:pPr>
              <w:spacing w:line="240" w:lineRule="atLeast"/>
              <w:jc w:val="center"/>
              <w:rPr>
                <w:rFonts w:ascii="宋体" w:hAnsi="宋体"/>
                <w:b/>
                <w:bCs/>
                <w:color w:val="000000"/>
                <w:szCs w:val="21"/>
              </w:rPr>
            </w:pPr>
            <w:r>
              <w:rPr>
                <w:rFonts w:hint="eastAsia" w:ascii="宋体" w:hAnsi="宋体"/>
                <w:b/>
                <w:bCs/>
                <w:color w:val="000000"/>
                <w:szCs w:val="21"/>
              </w:rPr>
              <w:t>金额（万元）</w:t>
            </w:r>
          </w:p>
        </w:tc>
      </w:tr>
      <w:tr w14:paraId="7C70FA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68" w:type="dxa"/>
            <w:vAlign w:val="center"/>
          </w:tcPr>
          <w:p w14:paraId="10D85CB3">
            <w:pPr>
              <w:spacing w:line="240" w:lineRule="atLeast"/>
              <w:jc w:val="center"/>
              <w:rPr>
                <w:rFonts w:ascii="宋体" w:hAnsi="宋体"/>
                <w:color w:val="000000"/>
                <w:szCs w:val="21"/>
              </w:rPr>
            </w:pPr>
            <w:r>
              <w:rPr>
                <w:rFonts w:hint="eastAsia" w:ascii="宋体" w:hAnsi="宋体" w:cs="华文中宋"/>
                <w:kern w:val="0"/>
                <w:szCs w:val="21"/>
              </w:rPr>
              <w:t>赈灾济贫</w:t>
            </w:r>
          </w:p>
        </w:tc>
        <w:tc>
          <w:tcPr>
            <w:tcW w:w="3746" w:type="dxa"/>
            <w:vAlign w:val="center"/>
          </w:tcPr>
          <w:p w14:paraId="73576570">
            <w:pPr>
              <w:spacing w:line="240" w:lineRule="atLeast"/>
              <w:ind w:left="210" w:hanging="210" w:hangingChars="100"/>
              <w:jc w:val="center"/>
              <w:rPr>
                <w:rFonts w:ascii="宋体" w:hAnsi="宋体"/>
                <w:color w:val="000000"/>
                <w:szCs w:val="21"/>
              </w:rPr>
            </w:pPr>
            <w:r>
              <w:rPr>
                <w:rFonts w:hint="eastAsia" w:ascii="宋体" w:hAnsi="宋体" w:cs="宋体"/>
                <w:color w:val="000000"/>
                <w:kern w:val="0"/>
                <w:szCs w:val="21"/>
              </w:rPr>
              <w:t>近三年路桥玉露洋村</w:t>
            </w:r>
            <w:r>
              <w:rPr>
                <w:rFonts w:hint="eastAsia" w:ascii="宋体" w:hAnsi="宋体"/>
                <w:szCs w:val="21"/>
              </w:rPr>
              <w:t>共建礼品</w:t>
            </w:r>
          </w:p>
        </w:tc>
        <w:tc>
          <w:tcPr>
            <w:tcW w:w="2633" w:type="dxa"/>
            <w:vAlign w:val="center"/>
          </w:tcPr>
          <w:p w14:paraId="605D59D8">
            <w:pPr>
              <w:spacing w:line="240" w:lineRule="atLeast"/>
              <w:jc w:val="center"/>
              <w:rPr>
                <w:rFonts w:ascii="宋体" w:hAnsi="宋体"/>
                <w:color w:val="000000"/>
                <w:szCs w:val="21"/>
              </w:rPr>
            </w:pPr>
            <w:r>
              <w:rPr>
                <w:rFonts w:hint="eastAsia" w:ascii="宋体" w:hAnsi="宋体"/>
                <w:szCs w:val="21"/>
              </w:rPr>
              <w:t>8.6</w:t>
            </w:r>
          </w:p>
        </w:tc>
      </w:tr>
      <w:tr w14:paraId="689C9A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68" w:type="dxa"/>
            <w:vAlign w:val="center"/>
          </w:tcPr>
          <w:p w14:paraId="2027CB5E">
            <w:pPr>
              <w:spacing w:line="240" w:lineRule="atLeast"/>
              <w:jc w:val="center"/>
              <w:rPr>
                <w:rFonts w:ascii="宋体" w:hAnsi="宋体"/>
                <w:color w:val="000000"/>
                <w:szCs w:val="21"/>
              </w:rPr>
            </w:pPr>
            <w:r>
              <w:rPr>
                <w:rFonts w:hint="eastAsia" w:ascii="宋体" w:hAnsi="宋体" w:cs="华文中宋"/>
                <w:kern w:val="0"/>
                <w:szCs w:val="21"/>
              </w:rPr>
              <w:t>赈灾济贫</w:t>
            </w:r>
          </w:p>
        </w:tc>
        <w:tc>
          <w:tcPr>
            <w:tcW w:w="3746" w:type="dxa"/>
            <w:vAlign w:val="center"/>
          </w:tcPr>
          <w:p w14:paraId="22EE2893">
            <w:pPr>
              <w:spacing w:line="240" w:lineRule="atLeast"/>
              <w:ind w:left="210" w:hanging="210" w:hangingChars="100"/>
              <w:jc w:val="center"/>
              <w:rPr>
                <w:rFonts w:ascii="宋体" w:hAnsi="宋体"/>
                <w:color w:val="000000"/>
                <w:szCs w:val="21"/>
              </w:rPr>
            </w:pPr>
            <w:r>
              <w:rPr>
                <w:rFonts w:hint="eastAsia" w:ascii="宋体" w:hAnsi="宋体" w:cs="宋体"/>
                <w:color w:val="000000"/>
                <w:kern w:val="0"/>
                <w:szCs w:val="21"/>
              </w:rPr>
              <w:t>金秋助学活动</w:t>
            </w:r>
          </w:p>
        </w:tc>
        <w:tc>
          <w:tcPr>
            <w:tcW w:w="2633" w:type="dxa"/>
            <w:vAlign w:val="center"/>
          </w:tcPr>
          <w:p w14:paraId="628B9B83">
            <w:pPr>
              <w:spacing w:line="240" w:lineRule="atLeast"/>
              <w:jc w:val="center"/>
              <w:rPr>
                <w:rFonts w:ascii="宋体" w:hAnsi="宋体"/>
                <w:color w:val="000000"/>
                <w:szCs w:val="21"/>
              </w:rPr>
            </w:pPr>
            <w:r>
              <w:rPr>
                <w:rFonts w:hint="eastAsia" w:ascii="宋体" w:hAnsi="宋体"/>
                <w:szCs w:val="21"/>
              </w:rPr>
              <w:t>0.3</w:t>
            </w:r>
          </w:p>
        </w:tc>
      </w:tr>
      <w:tr w14:paraId="30DA42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68" w:type="dxa"/>
            <w:vAlign w:val="center"/>
          </w:tcPr>
          <w:p w14:paraId="3CB439EC">
            <w:pPr>
              <w:spacing w:line="240" w:lineRule="atLeast"/>
              <w:jc w:val="center"/>
              <w:rPr>
                <w:rFonts w:hint="eastAsia" w:ascii="宋体" w:hAnsi="宋体" w:cs="华文中宋"/>
                <w:kern w:val="0"/>
                <w:szCs w:val="21"/>
              </w:rPr>
            </w:pPr>
            <w:r>
              <w:rPr>
                <w:rFonts w:hint="eastAsia" w:ascii="宋体" w:hAnsi="宋体" w:cs="华文中宋"/>
                <w:kern w:val="0"/>
                <w:szCs w:val="21"/>
              </w:rPr>
              <w:t>赈灾济贫</w:t>
            </w:r>
          </w:p>
        </w:tc>
        <w:tc>
          <w:tcPr>
            <w:tcW w:w="3746" w:type="dxa"/>
            <w:vAlign w:val="center"/>
          </w:tcPr>
          <w:p w14:paraId="555896A4">
            <w:pPr>
              <w:spacing w:line="240" w:lineRule="atLeast"/>
              <w:ind w:left="210" w:hanging="210" w:hangingChars="10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白岳居家养老服务照料中心物资捐赠</w:t>
            </w:r>
          </w:p>
        </w:tc>
        <w:tc>
          <w:tcPr>
            <w:tcW w:w="2633" w:type="dxa"/>
            <w:vAlign w:val="center"/>
          </w:tcPr>
          <w:p w14:paraId="6F0EF9CC">
            <w:pPr>
              <w:spacing w:line="240" w:lineRule="atLeast"/>
              <w:jc w:val="center"/>
              <w:rPr>
                <w:rFonts w:hint="default" w:ascii="宋体" w:hAnsi="宋体" w:eastAsia="宋体"/>
                <w:szCs w:val="21"/>
                <w:lang w:val="en-US" w:eastAsia="zh-CN"/>
              </w:rPr>
            </w:pPr>
            <w:r>
              <w:rPr>
                <w:rFonts w:hint="eastAsia" w:ascii="宋体" w:hAnsi="宋体"/>
                <w:szCs w:val="21"/>
                <w:lang w:val="en-US" w:eastAsia="zh-CN"/>
              </w:rPr>
              <w:t>1.0</w:t>
            </w:r>
          </w:p>
        </w:tc>
      </w:tr>
    </w:tbl>
    <w:p w14:paraId="69E0230B">
      <w:pPr>
        <w:spacing w:line="360" w:lineRule="auto"/>
        <w:rPr>
          <w:rFonts w:ascii="宋体" w:hAnsi="宋体" w:cs="宋体"/>
          <w:sz w:val="24"/>
        </w:rPr>
      </w:pPr>
    </w:p>
    <w:p w14:paraId="68DE29DA">
      <w:pPr>
        <w:rPr>
          <w:rFonts w:ascii="宋体" w:hAnsi="宋体"/>
          <w:b/>
          <w:sz w:val="32"/>
          <w:szCs w:val="32"/>
        </w:rPr>
      </w:pPr>
      <w:r>
        <w:rPr>
          <w:rFonts w:hint="eastAsia" w:ascii="宋体" w:hAnsi="宋体"/>
          <w:b/>
          <w:sz w:val="32"/>
          <w:szCs w:val="32"/>
        </w:rPr>
        <w:br w:type="page"/>
      </w:r>
    </w:p>
    <w:p w14:paraId="2C78C106">
      <w:pPr>
        <w:tabs>
          <w:tab w:val="left" w:pos="2966"/>
        </w:tabs>
        <w:spacing w:line="360" w:lineRule="auto"/>
        <w:ind w:right="-2"/>
        <w:jc w:val="center"/>
        <w:outlineLvl w:val="0"/>
        <w:rPr>
          <w:rFonts w:ascii="宋体" w:hAnsi="宋体"/>
          <w:b/>
          <w:sz w:val="32"/>
          <w:szCs w:val="32"/>
        </w:rPr>
      </w:pPr>
      <w:bookmarkStart w:id="21" w:name="_Toc26986"/>
      <w:r>
        <w:rPr>
          <w:rFonts w:hint="eastAsia" w:ascii="宋体" w:hAnsi="宋体"/>
          <w:b/>
          <w:sz w:val="32"/>
          <w:szCs w:val="32"/>
        </w:rPr>
        <w:t>三  总结与展望</w:t>
      </w:r>
      <w:bookmarkEnd w:id="21"/>
    </w:p>
    <w:p w14:paraId="3F217C18">
      <w:pPr>
        <w:spacing w:line="360" w:lineRule="auto"/>
        <w:ind w:right="-2"/>
        <w:rPr>
          <w:color w:val="000000"/>
          <w:sz w:val="18"/>
          <w:szCs w:val="18"/>
        </w:rPr>
      </w:pPr>
    </w:p>
    <w:p w14:paraId="1DF6C3C8">
      <w:pPr>
        <w:spacing w:line="360" w:lineRule="auto"/>
        <w:ind w:right="-2"/>
        <w:rPr>
          <w:sz w:val="24"/>
        </w:rPr>
      </w:pPr>
      <w:r>
        <w:rPr>
          <w:rFonts w:hint="eastAsia"/>
          <w:color w:val="000000"/>
          <w:sz w:val="18"/>
          <w:szCs w:val="18"/>
        </w:rPr>
        <w:t> </w:t>
      </w:r>
      <w:r>
        <w:rPr>
          <w:color w:val="000000"/>
          <w:sz w:val="18"/>
          <w:szCs w:val="18"/>
        </w:rPr>
        <w:t xml:space="preserve">     </w:t>
      </w:r>
      <w:r>
        <w:rPr>
          <w:rFonts w:hint="eastAsia"/>
          <w:color w:val="000000"/>
          <w:sz w:val="18"/>
          <w:szCs w:val="18"/>
        </w:rPr>
        <w:t> </w:t>
      </w:r>
      <w:r>
        <w:rPr>
          <w:rFonts w:hint="eastAsia" w:asciiTheme="minorEastAsia" w:hAnsiTheme="minorEastAsia" w:eastAsiaTheme="minorEastAsia"/>
          <w:sz w:val="24"/>
          <w:lang w:eastAsia="zh-CN"/>
        </w:rPr>
        <w:t>2025</w:t>
      </w:r>
      <w:r>
        <w:rPr>
          <w:rFonts w:hint="eastAsia" w:asciiTheme="minorEastAsia" w:hAnsiTheme="minorEastAsia" w:eastAsiaTheme="minorEastAsia"/>
          <w:sz w:val="24"/>
        </w:rPr>
        <w:t>年</w:t>
      </w:r>
      <w:r>
        <w:rPr>
          <w:rFonts w:hint="eastAsia"/>
          <w:sz w:val="24"/>
        </w:rPr>
        <w:t>，公司严格按照法律法规等有关规定，切实维护了股东、员工权益、在追求经济利益的同时，遵守社会公德、商业道德，提倡绿色环保，积极参与公益及慈善事业，对自身的社会责任义务付诸以行。</w:t>
      </w:r>
      <w:r>
        <w:rPr>
          <w:rFonts w:hint="eastAsia"/>
          <w:sz w:val="24"/>
        </w:rPr>
        <w:br w:type="textWrapping"/>
      </w:r>
      <w:r>
        <w:rPr>
          <w:rFonts w:hint="eastAsia"/>
          <w:sz w:val="24"/>
        </w:rPr>
        <w:t xml:space="preserve">    虽然公司在履行社会责任方面做了一些工作，但仍然存在着不足之处： </w:t>
      </w:r>
      <w:r>
        <w:rPr>
          <w:rFonts w:hint="eastAsia"/>
          <w:sz w:val="24"/>
        </w:rPr>
        <w:br w:type="textWrapping"/>
      </w:r>
      <w:r>
        <w:rPr>
          <w:rFonts w:hint="eastAsia"/>
          <w:sz w:val="24"/>
        </w:rPr>
        <w:t>    社会责任的意识还没有深入到每一名干部员工心中。践行社会责任是每个企业应尽的义务，公司每名干部员工都应将社会责任作为自己日常工作的一部分，但在燎原还没有做到人人重视，人人坚持，特别在普通员工中重视不够。      </w:t>
      </w:r>
    </w:p>
    <w:p w14:paraId="2D8A97E2">
      <w:pPr>
        <w:spacing w:line="360" w:lineRule="auto"/>
        <w:ind w:right="-2" w:firstLine="480" w:firstLineChars="200"/>
        <w:rPr>
          <w:sz w:val="24"/>
        </w:rPr>
      </w:pPr>
      <w:r>
        <w:rPr>
          <w:rFonts w:hint="eastAsia"/>
          <w:sz w:val="24"/>
        </w:rPr>
        <w:t>开展社会责任活动创新不够。公司在近几年中做了很多回报股东、回报社会、回报员工的实实在在的行为，每年仍然在坚持这些好的做法，但随着各项工作越来越深的推进，我们在社会责任方面创新不够，没有持续去开展一些更多的影响力更大的活动。</w:t>
      </w:r>
    </w:p>
    <w:p w14:paraId="5F959A43">
      <w:pPr>
        <w:spacing w:line="360" w:lineRule="auto"/>
        <w:ind w:right="-2" w:firstLine="480" w:firstLineChars="200"/>
        <w:rPr>
          <w:sz w:val="24"/>
        </w:rPr>
      </w:pPr>
      <w:r>
        <w:rPr>
          <w:rFonts w:hint="eastAsia"/>
          <w:sz w:val="24"/>
        </w:rPr>
        <w:t>公司对社会责任履行宣传不够。作为一个具有社会责任的企业，应该时时将社会作为企业所有工作的落脚点，但公司在这方面宣传还不够，特别是对员工的影响还不够深入，也没有进一步对外宣传，以影响和带动更多的人自觉参与，达到企业与社会最佳和谐状态。 </w:t>
      </w:r>
    </w:p>
    <w:p w14:paraId="6A69B983">
      <w:pPr>
        <w:spacing w:line="360" w:lineRule="auto"/>
        <w:ind w:right="-2" w:firstLine="480" w:firstLineChars="200"/>
        <w:rPr>
          <w:sz w:val="24"/>
        </w:rPr>
      </w:pPr>
      <w:r>
        <w:rPr>
          <w:rFonts w:hint="eastAsia"/>
          <w:sz w:val="24"/>
        </w:rPr>
        <w:t> </w:t>
      </w:r>
      <w:r>
        <w:rPr>
          <w:rFonts w:hint="eastAsia"/>
          <w:sz w:val="24"/>
          <w:lang w:eastAsia="zh-CN"/>
        </w:rPr>
        <w:t>2025</w:t>
      </w:r>
      <w:r>
        <w:rPr>
          <w:rFonts w:hint="eastAsia"/>
          <w:sz w:val="24"/>
        </w:rPr>
        <w:t>年，是燎原做大做强、实现再次飞跃的重要之年。我们将深入实践科学发展观，大力弘扬实干精神，立足新起点、增创新优势，扎实推进节能减排，着力提升经济效益，服务地方经济繁荣，保障更安全、更高效、更清洁、可持续的能源供应，关注员工需求，关注社会弱势群体，追求环境、经济、社会综合利益最大化，继续展现创和谐、可信赖、负责任的燎原良好形象。</w:t>
      </w:r>
    </w:p>
    <w:p w14:paraId="0159BDE2">
      <w:pPr>
        <w:spacing w:line="360" w:lineRule="auto"/>
        <w:ind w:right="325" w:rightChars="155"/>
        <w:rPr>
          <w:rFonts w:ascii="宋体" w:hAnsi="宋体" w:cs="宋体"/>
          <w:color w:val="000000"/>
          <w:sz w:val="24"/>
          <w:shd w:val="clear" w:color="auto" w:fill="FFFFFF"/>
        </w:rPr>
      </w:pPr>
    </w:p>
    <w:p w14:paraId="6F5A7DC2">
      <w:pPr>
        <w:pStyle w:val="387"/>
        <w:ind w:firstLine="5740" w:firstLineChars="2050"/>
        <w:outlineLvl w:val="0"/>
        <w:rPr>
          <w:rFonts w:asciiTheme="minorEastAsia" w:hAnsiTheme="minorEastAsia" w:eastAsiaTheme="minorEastAsia"/>
          <w:sz w:val="28"/>
          <w:szCs w:val="28"/>
        </w:rPr>
      </w:pPr>
      <w:bookmarkStart w:id="22" w:name="_Toc22057"/>
      <w:r>
        <w:rPr>
          <w:rFonts w:hint="eastAsia" w:asciiTheme="minorEastAsia" w:hAnsiTheme="minorEastAsia" w:eastAsiaTheme="minorEastAsia"/>
          <w:sz w:val="28"/>
          <w:szCs w:val="28"/>
        </w:rPr>
        <w:t>燎原电缆集团有限公司</w:t>
      </w:r>
      <w:bookmarkEnd w:id="22"/>
    </w:p>
    <w:p w14:paraId="00827F3F">
      <w:pPr>
        <w:pStyle w:val="387"/>
        <w:ind w:firstLine="6440" w:firstLineChars="2300"/>
        <w:outlineLvl w:val="0"/>
        <w:rPr>
          <w:rFonts w:asciiTheme="minorEastAsia" w:hAnsiTheme="minorEastAsia" w:eastAsiaTheme="minorEastAsia"/>
          <w:sz w:val="28"/>
          <w:szCs w:val="28"/>
        </w:rPr>
      </w:pPr>
      <w:bookmarkStart w:id="23" w:name="_Toc22661"/>
      <w:r>
        <w:rPr>
          <w:rFonts w:hint="eastAsia" w:asciiTheme="minorEastAsia" w:hAnsiTheme="minorEastAsia" w:eastAsiaTheme="minorEastAsia"/>
          <w:sz w:val="28"/>
          <w:szCs w:val="28"/>
        </w:rPr>
        <w:t>202</w:t>
      </w:r>
      <w:r>
        <w:rPr>
          <w:rFonts w:hint="eastAsia" w:asciiTheme="minorEastAsia" w:hAnsiTheme="minorEastAsia" w:eastAsiaTheme="minorEastAsia"/>
          <w:sz w:val="28"/>
          <w:szCs w:val="28"/>
          <w:lang w:val="en-US" w:eastAsia="zh-CN"/>
        </w:rPr>
        <w:t>6</w:t>
      </w:r>
      <w:r>
        <w:rPr>
          <w:rFonts w:hint="eastAsia" w:asciiTheme="minorEastAsia" w:hAnsiTheme="minorEastAsia" w:eastAsiaTheme="minorEastAsia"/>
          <w:sz w:val="28"/>
          <w:szCs w:val="28"/>
        </w:rPr>
        <w:t>年3月</w:t>
      </w:r>
      <w:bookmarkEnd w:id="23"/>
    </w:p>
    <w:sectPr>
      <w:headerReference r:id="rId4" w:type="first"/>
      <w:headerReference r:id="rId3" w:type="default"/>
      <w:pgSz w:w="11906" w:h="16838"/>
      <w:pgMar w:top="1723" w:right="1463" w:bottom="1327" w:left="1519" w:header="709" w:footer="541"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Roman 10cpi">
    <w:altName w:val="DejaVu Math TeX Gyre"/>
    <w:panose1 w:val="00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Microsoft YaHei UI">
    <w:panose1 w:val="020B0503020204020204"/>
    <w:charset w:val="86"/>
    <w:family w:val="swiss"/>
    <w:pitch w:val="default"/>
    <w:sig w:usb0="80000287" w:usb1="2ACF3C50" w:usb2="00000016" w:usb3="00000000" w:csb0="0004001F" w:csb1="00000000"/>
  </w:font>
  <w:font w:name="??">
    <w:altName w:val="DejaVu Math TeX Gyre"/>
    <w:panose1 w:val="00000000000000000000"/>
    <w:charset w:val="00"/>
    <w:family w:val="roman"/>
    <w:pitch w:val="default"/>
    <w:sig w:usb0="00000000" w:usb1="00000000" w:usb2="00000000" w:usb3="00000000" w:csb0="00000001" w:csb1="00000000"/>
  </w:font>
  <w:font w:name="ˎ̥">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华文中宋">
    <w:altName w:val="宋体"/>
    <w:panose1 w:val="02010600040101010101"/>
    <w:charset w:val="86"/>
    <w:family w:val="auto"/>
    <w:pitch w:val="default"/>
    <w:sig w:usb0="00000000" w:usb1="00000000" w:usb2="00000010" w:usb3="00000000" w:csb0="0004009F"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F3266">
    <w:pPr>
      <w:pStyle w:val="58"/>
      <w:pBdr>
        <w:top w:val="none" w:color="auto" w:sz="0" w:space="1"/>
        <w:left w:val="none" w:color="auto" w:sz="0" w:space="4"/>
        <w:bottom w:val="single" w:color="auto" w:sz="4" w:space="1"/>
        <w:right w:val="none" w:color="auto" w:sz="0" w:space="4"/>
      </w:pBdr>
      <w:jc w:val="both"/>
    </w:pPr>
    <w:r>
      <w:drawing>
        <wp:inline distT="0" distB="0" distL="114300" distR="114300">
          <wp:extent cx="2686050" cy="43815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2686050" cy="438150"/>
                  </a:xfrm>
                  <a:prstGeom prst="rect">
                    <a:avLst/>
                  </a:prstGeom>
                  <a:noFill/>
                  <a:ln>
                    <a:noFill/>
                  </a:ln>
                </pic:spPr>
              </pic:pic>
            </a:graphicData>
          </a:graphic>
        </wp:inline>
      </w:drawing>
    </w:r>
    <w:r>
      <w:rPr>
        <w:rFonts w:hint="eastAsia"/>
        <w:b/>
        <w:sz w:val="24"/>
      </w:rPr>
      <w:t xml:space="preserve">     </w:t>
    </w:r>
    <w:r>
      <w:rPr>
        <w:rFonts w:hint="eastAsia"/>
        <w:b/>
        <w:sz w:val="21"/>
        <w:szCs w:val="21"/>
      </w:rPr>
      <w:t xml:space="preserve">           “</w:t>
    </w:r>
    <w:r>
      <w:rPr>
        <w:rFonts w:hint="eastAsia"/>
        <w:sz w:val="21"/>
        <w:szCs w:val="21"/>
      </w:rPr>
      <w:t>浙江制造”认证社会责任报告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8B6D8">
    <w:pPr>
      <w:pStyle w:val="5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565E3A"/>
    <w:multiLevelType w:val="multilevel"/>
    <w:tmpl w:val="5E565E3A"/>
    <w:lvl w:ilvl="0" w:tentative="0">
      <w:start w:val="1"/>
      <w:numFmt w:val="decimal"/>
      <w:pStyle w:val="5"/>
      <w:lvlText w:val="%1"/>
      <w:lvlJc w:val="left"/>
      <w:pPr>
        <w:tabs>
          <w:tab w:val="left" w:pos="432"/>
        </w:tabs>
        <w:ind w:left="432" w:hanging="432"/>
      </w:pPr>
      <w:rPr>
        <w:rFonts w:hint="eastAsia"/>
      </w:rPr>
    </w:lvl>
    <w:lvl w:ilvl="1" w:tentative="0">
      <w:start w:val="1"/>
      <w:numFmt w:val="decimal"/>
      <w:pStyle w:val="6"/>
      <w:lvlText w:val="%1.%2"/>
      <w:lvlJc w:val="left"/>
      <w:pPr>
        <w:tabs>
          <w:tab w:val="left" w:pos="576"/>
        </w:tabs>
        <w:ind w:left="576" w:hanging="576"/>
      </w:pPr>
      <w:rPr>
        <w:rFonts w:hint="eastAsia"/>
      </w:rPr>
    </w:lvl>
    <w:lvl w:ilvl="2" w:tentative="0">
      <w:start w:val="1"/>
      <w:numFmt w:val="decimal"/>
      <w:pStyle w:val="7"/>
      <w:lvlText w:val="%1.%2.%3"/>
      <w:lvlJc w:val="left"/>
      <w:pPr>
        <w:tabs>
          <w:tab w:val="left" w:pos="720"/>
        </w:tabs>
        <w:ind w:left="720" w:hanging="720"/>
      </w:pPr>
      <w:rPr>
        <w:rFonts w:hint="eastAsia"/>
      </w:rPr>
    </w:lvl>
    <w:lvl w:ilvl="3" w:tentative="0">
      <w:start w:val="1"/>
      <w:numFmt w:val="decimal"/>
      <w:pStyle w:val="8"/>
      <w:lvlText w:val="%1.%2.%3.%4"/>
      <w:lvlJc w:val="left"/>
      <w:pPr>
        <w:tabs>
          <w:tab w:val="left" w:pos="864"/>
        </w:tabs>
        <w:ind w:left="864" w:hanging="864"/>
      </w:pPr>
      <w:rPr>
        <w:rFonts w:hint="eastAsia"/>
      </w:rPr>
    </w:lvl>
    <w:lvl w:ilvl="4" w:tentative="0">
      <w:start w:val="1"/>
      <w:numFmt w:val="decimal"/>
      <w:pStyle w:val="9"/>
      <w:lvlText w:val="%1.%2.%3.%4.%5"/>
      <w:lvlJc w:val="left"/>
      <w:pPr>
        <w:tabs>
          <w:tab w:val="left" w:pos="1008"/>
        </w:tabs>
        <w:ind w:left="1008" w:hanging="1008"/>
      </w:pPr>
      <w:rPr>
        <w:rFonts w:hint="eastAsia"/>
      </w:rPr>
    </w:lvl>
    <w:lvl w:ilvl="5" w:tentative="0">
      <w:start w:val="1"/>
      <w:numFmt w:val="decimal"/>
      <w:pStyle w:val="10"/>
      <w:lvlText w:val="%1.%2.%3.%4.%5.%6"/>
      <w:lvlJc w:val="left"/>
      <w:pPr>
        <w:tabs>
          <w:tab w:val="left" w:pos="1152"/>
        </w:tabs>
        <w:ind w:left="1152" w:hanging="1152"/>
      </w:pPr>
      <w:rPr>
        <w:rFonts w:hint="eastAsia"/>
      </w:rPr>
    </w:lvl>
    <w:lvl w:ilvl="6" w:tentative="0">
      <w:start w:val="1"/>
      <w:numFmt w:val="decimal"/>
      <w:pStyle w:val="11"/>
      <w:lvlText w:val="%1.%2.%3.%4.%5.%6.%7"/>
      <w:lvlJc w:val="left"/>
      <w:pPr>
        <w:tabs>
          <w:tab w:val="left" w:pos="1296"/>
        </w:tabs>
        <w:ind w:left="1296" w:hanging="1296"/>
      </w:pPr>
      <w:rPr>
        <w:rFonts w:hint="eastAsia"/>
      </w:rPr>
    </w:lvl>
    <w:lvl w:ilvl="7" w:tentative="0">
      <w:start w:val="1"/>
      <w:numFmt w:val="decimal"/>
      <w:pStyle w:val="12"/>
      <w:lvlText w:val="%1.%2.%3.%4.%5.%6.%7.%8"/>
      <w:lvlJc w:val="left"/>
      <w:pPr>
        <w:tabs>
          <w:tab w:val="left" w:pos="1440"/>
        </w:tabs>
        <w:ind w:left="1440" w:hanging="1440"/>
      </w:pPr>
      <w:rPr>
        <w:rFonts w:hint="eastAsia"/>
      </w:rPr>
    </w:lvl>
    <w:lvl w:ilvl="8" w:tentative="0">
      <w:start w:val="1"/>
      <w:numFmt w:val="decimal"/>
      <w:pStyle w:val="13"/>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D551C"/>
    <w:rsid w:val="0000546B"/>
    <w:rsid w:val="00013201"/>
    <w:rsid w:val="000236CC"/>
    <w:rsid w:val="00030F83"/>
    <w:rsid w:val="0003302B"/>
    <w:rsid w:val="000621AF"/>
    <w:rsid w:val="000635D9"/>
    <w:rsid w:val="000920FB"/>
    <w:rsid w:val="0009660E"/>
    <w:rsid w:val="000B14D9"/>
    <w:rsid w:val="000B42DE"/>
    <w:rsid w:val="0010658C"/>
    <w:rsid w:val="001167A4"/>
    <w:rsid w:val="0014008E"/>
    <w:rsid w:val="001A5163"/>
    <w:rsid w:val="001A731B"/>
    <w:rsid w:val="001B1CF0"/>
    <w:rsid w:val="001D32E5"/>
    <w:rsid w:val="001E4D77"/>
    <w:rsid w:val="002143F1"/>
    <w:rsid w:val="00242F5A"/>
    <w:rsid w:val="002440F9"/>
    <w:rsid w:val="0024549D"/>
    <w:rsid w:val="00281112"/>
    <w:rsid w:val="00285683"/>
    <w:rsid w:val="002C13D7"/>
    <w:rsid w:val="002D6113"/>
    <w:rsid w:val="002F4DB6"/>
    <w:rsid w:val="002F5381"/>
    <w:rsid w:val="003156D5"/>
    <w:rsid w:val="00316F31"/>
    <w:rsid w:val="0032288D"/>
    <w:rsid w:val="0035331C"/>
    <w:rsid w:val="003D0584"/>
    <w:rsid w:val="00403D82"/>
    <w:rsid w:val="004274BD"/>
    <w:rsid w:val="00432E62"/>
    <w:rsid w:val="00434D0B"/>
    <w:rsid w:val="00460A73"/>
    <w:rsid w:val="0047532D"/>
    <w:rsid w:val="00482C6C"/>
    <w:rsid w:val="004962D3"/>
    <w:rsid w:val="004C7385"/>
    <w:rsid w:val="004E7253"/>
    <w:rsid w:val="004E76D4"/>
    <w:rsid w:val="004F6758"/>
    <w:rsid w:val="00501354"/>
    <w:rsid w:val="005104E8"/>
    <w:rsid w:val="00511338"/>
    <w:rsid w:val="005617AF"/>
    <w:rsid w:val="00567997"/>
    <w:rsid w:val="005A4897"/>
    <w:rsid w:val="006013A8"/>
    <w:rsid w:val="00632330"/>
    <w:rsid w:val="0067369C"/>
    <w:rsid w:val="00675927"/>
    <w:rsid w:val="0068079F"/>
    <w:rsid w:val="006D2DD4"/>
    <w:rsid w:val="006E6C0F"/>
    <w:rsid w:val="00701CE7"/>
    <w:rsid w:val="007168BA"/>
    <w:rsid w:val="007219E2"/>
    <w:rsid w:val="00724429"/>
    <w:rsid w:val="007314CD"/>
    <w:rsid w:val="007354E9"/>
    <w:rsid w:val="00735747"/>
    <w:rsid w:val="007678F2"/>
    <w:rsid w:val="0077519B"/>
    <w:rsid w:val="00776F41"/>
    <w:rsid w:val="007A06F7"/>
    <w:rsid w:val="007A3588"/>
    <w:rsid w:val="007C3652"/>
    <w:rsid w:val="007E5401"/>
    <w:rsid w:val="00816B26"/>
    <w:rsid w:val="00816C1E"/>
    <w:rsid w:val="00831BE3"/>
    <w:rsid w:val="0089535D"/>
    <w:rsid w:val="008A0204"/>
    <w:rsid w:val="008A146D"/>
    <w:rsid w:val="008B08E0"/>
    <w:rsid w:val="008B2D9E"/>
    <w:rsid w:val="008B3DE2"/>
    <w:rsid w:val="008C5534"/>
    <w:rsid w:val="008F40B8"/>
    <w:rsid w:val="009114D9"/>
    <w:rsid w:val="009158F1"/>
    <w:rsid w:val="00943361"/>
    <w:rsid w:val="009460D9"/>
    <w:rsid w:val="00946A03"/>
    <w:rsid w:val="009513AB"/>
    <w:rsid w:val="00973287"/>
    <w:rsid w:val="00974A9D"/>
    <w:rsid w:val="00975FA6"/>
    <w:rsid w:val="009B448F"/>
    <w:rsid w:val="009D551C"/>
    <w:rsid w:val="009E6896"/>
    <w:rsid w:val="009F2603"/>
    <w:rsid w:val="00A23C93"/>
    <w:rsid w:val="00A64F17"/>
    <w:rsid w:val="00A66209"/>
    <w:rsid w:val="00A66B17"/>
    <w:rsid w:val="00A8658F"/>
    <w:rsid w:val="00A90BF4"/>
    <w:rsid w:val="00AC0FD1"/>
    <w:rsid w:val="00AC798B"/>
    <w:rsid w:val="00AD0BD0"/>
    <w:rsid w:val="00AE3AB6"/>
    <w:rsid w:val="00AF28F7"/>
    <w:rsid w:val="00B22789"/>
    <w:rsid w:val="00B46DB1"/>
    <w:rsid w:val="00B545FA"/>
    <w:rsid w:val="00B56DE6"/>
    <w:rsid w:val="00B57BA5"/>
    <w:rsid w:val="00BC62F8"/>
    <w:rsid w:val="00BD3AB1"/>
    <w:rsid w:val="00BD4195"/>
    <w:rsid w:val="00BD566A"/>
    <w:rsid w:val="00C1071C"/>
    <w:rsid w:val="00C15BF2"/>
    <w:rsid w:val="00C17558"/>
    <w:rsid w:val="00C2013C"/>
    <w:rsid w:val="00C33A98"/>
    <w:rsid w:val="00C46CA8"/>
    <w:rsid w:val="00C71EA8"/>
    <w:rsid w:val="00C772C4"/>
    <w:rsid w:val="00C906F7"/>
    <w:rsid w:val="00CE6346"/>
    <w:rsid w:val="00D01AF6"/>
    <w:rsid w:val="00D2245B"/>
    <w:rsid w:val="00D36E8A"/>
    <w:rsid w:val="00D64B76"/>
    <w:rsid w:val="00D64ED3"/>
    <w:rsid w:val="00D77E5A"/>
    <w:rsid w:val="00D907B8"/>
    <w:rsid w:val="00D95122"/>
    <w:rsid w:val="00D9532E"/>
    <w:rsid w:val="00DB3B00"/>
    <w:rsid w:val="00DC6524"/>
    <w:rsid w:val="00DE3B10"/>
    <w:rsid w:val="00DF6106"/>
    <w:rsid w:val="00E02114"/>
    <w:rsid w:val="00E0332A"/>
    <w:rsid w:val="00E52098"/>
    <w:rsid w:val="00E56C9C"/>
    <w:rsid w:val="00E63D05"/>
    <w:rsid w:val="00E76FBA"/>
    <w:rsid w:val="00E83C9A"/>
    <w:rsid w:val="00EA0ED7"/>
    <w:rsid w:val="00EA536A"/>
    <w:rsid w:val="00EE22FE"/>
    <w:rsid w:val="00EF64BF"/>
    <w:rsid w:val="00F514A1"/>
    <w:rsid w:val="00F541A4"/>
    <w:rsid w:val="00F830B4"/>
    <w:rsid w:val="00FF1712"/>
    <w:rsid w:val="05637177"/>
    <w:rsid w:val="063E1E47"/>
    <w:rsid w:val="077F00F6"/>
    <w:rsid w:val="0A322570"/>
    <w:rsid w:val="0AB22C12"/>
    <w:rsid w:val="105C372A"/>
    <w:rsid w:val="12CA7F62"/>
    <w:rsid w:val="1B4C1861"/>
    <w:rsid w:val="214F51AB"/>
    <w:rsid w:val="21C208C8"/>
    <w:rsid w:val="21CE5260"/>
    <w:rsid w:val="235E24A7"/>
    <w:rsid w:val="244A0CD2"/>
    <w:rsid w:val="26473BAB"/>
    <w:rsid w:val="26552F4B"/>
    <w:rsid w:val="2B480D19"/>
    <w:rsid w:val="2DA735FA"/>
    <w:rsid w:val="338724DE"/>
    <w:rsid w:val="37191717"/>
    <w:rsid w:val="379123D9"/>
    <w:rsid w:val="3B630412"/>
    <w:rsid w:val="3F3F7C06"/>
    <w:rsid w:val="42EB2F66"/>
    <w:rsid w:val="52CC47F3"/>
    <w:rsid w:val="53C7294D"/>
    <w:rsid w:val="558F08DF"/>
    <w:rsid w:val="5F5D3512"/>
    <w:rsid w:val="64616A22"/>
    <w:rsid w:val="65953929"/>
    <w:rsid w:val="66313A4D"/>
    <w:rsid w:val="66482334"/>
    <w:rsid w:val="6C231B90"/>
    <w:rsid w:val="6D310590"/>
    <w:rsid w:val="6DC746CF"/>
    <w:rsid w:val="705C7B47"/>
    <w:rsid w:val="724400C1"/>
    <w:rsid w:val="77FB91F6"/>
    <w:rsid w:val="77FE14D0"/>
    <w:rsid w:val="79FF1132"/>
    <w:rsid w:val="7FFF2BA7"/>
    <w:rsid w:val="BBFF81CF"/>
    <w:rsid w:val="BF610E66"/>
    <w:rsid w:val="DDE7903E"/>
    <w:rsid w:val="EB7FC030"/>
    <w:rsid w:val="ED975D88"/>
    <w:rsid w:val="EF3DA4CE"/>
    <w:rsid w:val="FEE54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99" w:semiHidden="0" w:name="footnote reference"/>
    <w:lsdException w:qFormat="1" w:uiPriority="0" w:semiHidden="0" w:name="annotation reference"/>
    <w:lsdException w:uiPriority="99" w:name="line number"/>
    <w:lsdException w:qFormat="1" w:unhideWhenUsed="0" w:uiPriority="99"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99" w:semiHidden="0" w:name="Plain Text"/>
    <w:lsdException w:qFormat="1" w:unhideWhenUsed="0" w:uiPriority="0" w:semiHidden="0" w:name="E-mail Signature"/>
    <w:lsdException w:qFormat="1" w:unhideWhenUsed="0" w:uiPriority="0" w:semiHidden="0" w:name="Normal (Web)"/>
    <w:lsdException w:uiPriority="99" w:name="HTML Acronym"/>
    <w:lsdException w:qFormat="1" w:unhideWhenUsed="0" w:uiPriority="0" w:semiHidden="0" w:name="HTML Address"/>
    <w:lsdException w:qFormat="1" w:uiPriority="99" w:semiHidden="0"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heme="minorBidi"/>
      <w:kern w:val="2"/>
      <w:sz w:val="21"/>
      <w:szCs w:val="24"/>
      <w:lang w:val="en-US" w:eastAsia="zh-CN" w:bidi="ar-SA"/>
    </w:rPr>
  </w:style>
  <w:style w:type="paragraph" w:styleId="5">
    <w:name w:val="heading 1"/>
    <w:basedOn w:val="1"/>
    <w:next w:val="1"/>
    <w:link w:val="100"/>
    <w:qFormat/>
    <w:uiPriority w:val="0"/>
    <w:pPr>
      <w:keepNext/>
      <w:numPr>
        <w:ilvl w:val="0"/>
        <w:numId w:val="1"/>
      </w:numPr>
      <w:tabs>
        <w:tab w:val="left" w:pos="2195"/>
        <w:tab w:val="left" w:pos="5964"/>
        <w:tab w:val="left" w:pos="7489"/>
        <w:tab w:val="left" w:pos="9559"/>
      </w:tabs>
      <w:jc w:val="center"/>
      <w:outlineLvl w:val="0"/>
    </w:pPr>
    <w:rPr>
      <w:rFonts w:ascii="楷体_GB2312" w:eastAsia="楷体_GB2312"/>
      <w:b/>
      <w:sz w:val="28"/>
    </w:rPr>
  </w:style>
  <w:style w:type="paragraph" w:styleId="6">
    <w:name w:val="heading 2"/>
    <w:basedOn w:val="1"/>
    <w:next w:val="1"/>
    <w:link w:val="10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7">
    <w:name w:val="heading 3"/>
    <w:basedOn w:val="1"/>
    <w:next w:val="1"/>
    <w:link w:val="102"/>
    <w:qFormat/>
    <w:uiPriority w:val="0"/>
    <w:pPr>
      <w:keepNext/>
      <w:keepLines/>
      <w:numPr>
        <w:ilvl w:val="2"/>
        <w:numId w:val="1"/>
      </w:numPr>
      <w:spacing w:before="260" w:after="260" w:line="416" w:lineRule="auto"/>
      <w:outlineLvl w:val="2"/>
    </w:pPr>
    <w:rPr>
      <w:b/>
      <w:bCs/>
      <w:sz w:val="32"/>
      <w:szCs w:val="32"/>
    </w:rPr>
  </w:style>
  <w:style w:type="paragraph" w:styleId="8">
    <w:name w:val="heading 4"/>
    <w:basedOn w:val="1"/>
    <w:next w:val="1"/>
    <w:link w:val="103"/>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9">
    <w:name w:val="heading 5"/>
    <w:basedOn w:val="1"/>
    <w:next w:val="1"/>
    <w:link w:val="104"/>
    <w:qFormat/>
    <w:uiPriority w:val="0"/>
    <w:pPr>
      <w:keepNext/>
      <w:keepLines/>
      <w:numPr>
        <w:ilvl w:val="4"/>
        <w:numId w:val="1"/>
      </w:numPr>
      <w:spacing w:before="280" w:after="290" w:line="376" w:lineRule="auto"/>
      <w:outlineLvl w:val="4"/>
    </w:pPr>
    <w:rPr>
      <w:b/>
      <w:bCs/>
      <w:sz w:val="28"/>
      <w:szCs w:val="28"/>
    </w:rPr>
  </w:style>
  <w:style w:type="paragraph" w:styleId="10">
    <w:name w:val="heading 6"/>
    <w:basedOn w:val="1"/>
    <w:next w:val="1"/>
    <w:link w:val="105"/>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11">
    <w:name w:val="heading 7"/>
    <w:basedOn w:val="1"/>
    <w:next w:val="1"/>
    <w:link w:val="106"/>
    <w:qFormat/>
    <w:uiPriority w:val="0"/>
    <w:pPr>
      <w:keepNext/>
      <w:keepLines/>
      <w:numPr>
        <w:ilvl w:val="6"/>
        <w:numId w:val="1"/>
      </w:numPr>
      <w:spacing w:before="240" w:after="64" w:line="320" w:lineRule="auto"/>
      <w:outlineLvl w:val="6"/>
    </w:pPr>
    <w:rPr>
      <w:b/>
      <w:bCs/>
      <w:sz w:val="24"/>
    </w:rPr>
  </w:style>
  <w:style w:type="paragraph" w:styleId="12">
    <w:name w:val="heading 8"/>
    <w:basedOn w:val="1"/>
    <w:next w:val="1"/>
    <w:link w:val="107"/>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1"/>
    <w:link w:val="108"/>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26"/>
    <w:qFormat/>
    <w:uiPriority w:val="0"/>
    <w:pPr>
      <w:autoSpaceDE/>
      <w:autoSpaceDN/>
      <w:adjustRightInd/>
      <w:spacing w:after="120" w:line="460" w:lineRule="exact"/>
      <w:ind w:left="200" w:leftChars="200" w:firstLine="420" w:firstLineChars="200"/>
    </w:pPr>
    <w:rPr>
      <w:rFonts w:ascii="华文细黑" w:hAnsi="宋体" w:eastAsia="华文细黑"/>
      <w:kern w:val="2"/>
      <w:u w:val="single"/>
    </w:rPr>
  </w:style>
  <w:style w:type="paragraph" w:styleId="3">
    <w:name w:val="Body Text Indent"/>
    <w:basedOn w:val="1"/>
    <w:link w:val="120"/>
    <w:qFormat/>
    <w:uiPriority w:val="0"/>
    <w:pPr>
      <w:autoSpaceDE w:val="0"/>
      <w:autoSpaceDN w:val="0"/>
      <w:adjustRightInd w:val="0"/>
      <w:spacing w:line="504" w:lineRule="exact"/>
      <w:ind w:firstLine="480"/>
    </w:pPr>
    <w:rPr>
      <w:kern w:val="0"/>
      <w:sz w:val="24"/>
    </w:rPr>
  </w:style>
  <w:style w:type="paragraph" w:styleId="4">
    <w:name w:val="macro"/>
    <w:link w:val="11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4">
    <w:name w:val="List 3"/>
    <w:basedOn w:val="1"/>
    <w:qFormat/>
    <w:uiPriority w:val="0"/>
    <w:pPr>
      <w:widowControl/>
      <w:adjustRightInd w:val="0"/>
      <w:snapToGrid w:val="0"/>
      <w:spacing w:line="300" w:lineRule="auto"/>
      <w:ind w:left="100" w:leftChars="400" w:hanging="200" w:hangingChars="200"/>
      <w:jc w:val="left"/>
    </w:pPr>
    <w:rPr>
      <w:rFonts w:ascii="Tahoma" w:hAnsi="Tahoma" w:eastAsia="仿宋"/>
      <w:kern w:val="0"/>
      <w:szCs w:val="21"/>
    </w:rPr>
  </w:style>
  <w:style w:type="paragraph" w:styleId="15">
    <w:name w:val="toc 7"/>
    <w:basedOn w:val="1"/>
    <w:next w:val="1"/>
    <w:qFormat/>
    <w:uiPriority w:val="39"/>
    <w:pPr>
      <w:spacing w:line="300" w:lineRule="auto"/>
      <w:ind w:left="1260" w:firstLine="200" w:firstLineChars="200"/>
      <w:jc w:val="left"/>
    </w:pPr>
    <w:rPr>
      <w:rFonts w:hAnsi="仿宋" w:eastAsia="仿宋"/>
      <w:sz w:val="18"/>
      <w:szCs w:val="18"/>
    </w:rPr>
  </w:style>
  <w:style w:type="paragraph" w:styleId="16">
    <w:name w:val="List Number 2"/>
    <w:basedOn w:val="1"/>
    <w:qFormat/>
    <w:uiPriority w:val="0"/>
    <w:pPr>
      <w:tabs>
        <w:tab w:val="left" w:pos="780"/>
      </w:tabs>
    </w:pPr>
    <w:rPr>
      <w:rFonts w:ascii="Calibri" w:hAnsi="Calibri"/>
    </w:rPr>
  </w:style>
  <w:style w:type="paragraph" w:styleId="17">
    <w:name w:val="table of authorities"/>
    <w:basedOn w:val="1"/>
    <w:next w:val="1"/>
    <w:qFormat/>
    <w:uiPriority w:val="0"/>
    <w:pPr>
      <w:tabs>
        <w:tab w:val="left" w:pos="1620"/>
      </w:tabs>
    </w:pPr>
    <w:rPr>
      <w:rFonts w:ascii="Calibri" w:hAnsi="Calibri"/>
    </w:rPr>
  </w:style>
  <w:style w:type="paragraph" w:styleId="18">
    <w:name w:val="Note Heading"/>
    <w:basedOn w:val="1"/>
    <w:next w:val="1"/>
    <w:link w:val="127"/>
    <w:qFormat/>
    <w:uiPriority w:val="0"/>
    <w:pPr>
      <w:jc w:val="center"/>
    </w:pPr>
    <w:rPr>
      <w:rFonts w:ascii="Calibri" w:hAnsi="Calibri"/>
    </w:rPr>
  </w:style>
  <w:style w:type="paragraph" w:styleId="19">
    <w:name w:val="List Bullet 4"/>
    <w:basedOn w:val="1"/>
    <w:qFormat/>
    <w:uiPriority w:val="0"/>
    <w:pPr>
      <w:tabs>
        <w:tab w:val="left" w:pos="1620"/>
      </w:tabs>
    </w:pPr>
    <w:rPr>
      <w:rFonts w:ascii="Calibri" w:hAnsi="Calibri"/>
    </w:rPr>
  </w:style>
  <w:style w:type="paragraph" w:styleId="20">
    <w:name w:val="index 8"/>
    <w:basedOn w:val="1"/>
    <w:next w:val="1"/>
    <w:qFormat/>
    <w:uiPriority w:val="0"/>
    <w:pPr>
      <w:ind w:left="1400" w:leftChars="1400"/>
    </w:pPr>
    <w:rPr>
      <w:rFonts w:ascii="Calibri" w:hAnsi="Calibri"/>
    </w:rPr>
  </w:style>
  <w:style w:type="paragraph" w:styleId="21">
    <w:name w:val="E-mail Signature"/>
    <w:basedOn w:val="1"/>
    <w:link w:val="134"/>
    <w:qFormat/>
    <w:uiPriority w:val="0"/>
    <w:rPr>
      <w:rFonts w:ascii="Calibri" w:hAnsi="Calibri"/>
    </w:rPr>
  </w:style>
  <w:style w:type="paragraph" w:styleId="22">
    <w:name w:val="List Number"/>
    <w:basedOn w:val="1"/>
    <w:qFormat/>
    <w:uiPriority w:val="0"/>
    <w:pPr>
      <w:tabs>
        <w:tab w:val="left" w:pos="360"/>
      </w:tabs>
    </w:pPr>
    <w:rPr>
      <w:rFonts w:hAnsi="仿宋" w:eastAsia="仿宋"/>
    </w:rPr>
  </w:style>
  <w:style w:type="paragraph" w:styleId="23">
    <w:name w:val="Normal Indent"/>
    <w:basedOn w:val="1"/>
    <w:qFormat/>
    <w:uiPriority w:val="0"/>
    <w:pPr>
      <w:ind w:firstLine="420" w:firstLineChars="200"/>
    </w:pPr>
    <w:rPr>
      <w:rFonts w:hAnsi="仿宋" w:eastAsia="仿宋"/>
      <w:szCs w:val="20"/>
    </w:rPr>
  </w:style>
  <w:style w:type="paragraph" w:styleId="24">
    <w:name w:val="caption"/>
    <w:basedOn w:val="1"/>
    <w:next w:val="1"/>
    <w:link w:val="113"/>
    <w:semiHidden/>
    <w:unhideWhenUsed/>
    <w:qFormat/>
    <w:uiPriority w:val="0"/>
    <w:rPr>
      <w:rFonts w:eastAsia="黑体" w:asciiTheme="majorHAnsi" w:hAnsiTheme="majorHAnsi" w:cstheme="majorBidi"/>
      <w:sz w:val="20"/>
      <w:szCs w:val="20"/>
    </w:rPr>
  </w:style>
  <w:style w:type="paragraph" w:styleId="25">
    <w:name w:val="index 5"/>
    <w:basedOn w:val="1"/>
    <w:next w:val="1"/>
    <w:qFormat/>
    <w:uiPriority w:val="0"/>
    <w:pPr>
      <w:ind w:left="800" w:leftChars="800"/>
    </w:pPr>
    <w:rPr>
      <w:rFonts w:ascii="Calibri" w:hAnsi="Calibri"/>
    </w:rPr>
  </w:style>
  <w:style w:type="paragraph" w:styleId="26">
    <w:name w:val="List Bullet"/>
    <w:basedOn w:val="1"/>
    <w:qFormat/>
    <w:uiPriority w:val="0"/>
    <w:pPr>
      <w:tabs>
        <w:tab w:val="left" w:pos="360"/>
      </w:tabs>
    </w:pPr>
    <w:rPr>
      <w:rFonts w:ascii="Calibri" w:hAnsi="Calibri"/>
    </w:rPr>
  </w:style>
  <w:style w:type="paragraph" w:styleId="27">
    <w:name w:val="envelope address"/>
    <w:basedOn w:val="1"/>
    <w:qFormat/>
    <w:uiPriority w:val="0"/>
    <w:pPr>
      <w:framePr w:w="7920" w:h="1980" w:hRule="exact" w:hSpace="180" w:wrap="around" w:vAnchor="margin" w:hAnchor="page" w:xAlign="center" w:yAlign="bottom"/>
      <w:snapToGrid w:val="0"/>
      <w:ind w:left="100" w:leftChars="1400"/>
    </w:pPr>
    <w:rPr>
      <w:rFonts w:ascii="Arial" w:hAnsi="Arial" w:cs="Arial"/>
    </w:rPr>
  </w:style>
  <w:style w:type="paragraph" w:styleId="28">
    <w:name w:val="Document Map"/>
    <w:basedOn w:val="1"/>
    <w:link w:val="132"/>
    <w:unhideWhenUsed/>
    <w:qFormat/>
    <w:uiPriority w:val="99"/>
    <w:pPr>
      <w:spacing w:line="300" w:lineRule="auto"/>
      <w:ind w:firstLine="200" w:firstLineChars="200"/>
    </w:pPr>
    <w:rPr>
      <w:rFonts w:ascii="宋体"/>
      <w:sz w:val="18"/>
      <w:szCs w:val="18"/>
    </w:rPr>
  </w:style>
  <w:style w:type="paragraph" w:styleId="29">
    <w:name w:val="toa heading"/>
    <w:basedOn w:val="1"/>
    <w:next w:val="1"/>
    <w:qFormat/>
    <w:uiPriority w:val="0"/>
    <w:pPr>
      <w:spacing w:before="120"/>
    </w:pPr>
    <w:rPr>
      <w:rFonts w:ascii="Arial" w:hAnsi="Arial" w:cs="Arial"/>
    </w:rPr>
  </w:style>
  <w:style w:type="paragraph" w:styleId="30">
    <w:name w:val="annotation text"/>
    <w:basedOn w:val="1"/>
    <w:link w:val="110"/>
    <w:qFormat/>
    <w:uiPriority w:val="0"/>
    <w:pPr>
      <w:jc w:val="left"/>
    </w:pPr>
    <w:rPr>
      <w:sz w:val="24"/>
    </w:rPr>
  </w:style>
  <w:style w:type="paragraph" w:styleId="31">
    <w:name w:val="index 6"/>
    <w:basedOn w:val="1"/>
    <w:next w:val="1"/>
    <w:qFormat/>
    <w:uiPriority w:val="0"/>
    <w:pPr>
      <w:ind w:left="1000" w:leftChars="1000"/>
    </w:pPr>
    <w:rPr>
      <w:rFonts w:ascii="Calibri" w:hAnsi="Calibri"/>
    </w:rPr>
  </w:style>
  <w:style w:type="paragraph" w:styleId="32">
    <w:name w:val="Salutation"/>
    <w:basedOn w:val="1"/>
    <w:next w:val="1"/>
    <w:link w:val="123"/>
    <w:qFormat/>
    <w:uiPriority w:val="0"/>
    <w:pPr>
      <w:ind w:firstLine="200" w:firstLineChars="200"/>
    </w:pPr>
    <w:rPr>
      <w:rFonts w:hAnsi="仿宋" w:eastAsia="仿宋"/>
      <w:szCs w:val="20"/>
    </w:rPr>
  </w:style>
  <w:style w:type="paragraph" w:styleId="33">
    <w:name w:val="Body Text 3"/>
    <w:basedOn w:val="1"/>
    <w:link w:val="129"/>
    <w:qFormat/>
    <w:uiPriority w:val="0"/>
    <w:pPr>
      <w:spacing w:after="120"/>
      <w:ind w:firstLine="200" w:firstLineChars="200"/>
    </w:pPr>
    <w:rPr>
      <w:rFonts w:ascii="Calibri" w:hAnsi="Calibri" w:eastAsia="仿宋"/>
      <w:sz w:val="16"/>
      <w:szCs w:val="20"/>
    </w:rPr>
  </w:style>
  <w:style w:type="paragraph" w:styleId="34">
    <w:name w:val="Closing"/>
    <w:basedOn w:val="1"/>
    <w:link w:val="117"/>
    <w:qFormat/>
    <w:uiPriority w:val="0"/>
    <w:pPr>
      <w:ind w:left="100" w:leftChars="2100"/>
    </w:pPr>
    <w:rPr>
      <w:rFonts w:ascii="Calibri" w:hAnsi="Calibri"/>
    </w:rPr>
  </w:style>
  <w:style w:type="paragraph" w:styleId="35">
    <w:name w:val="List Bullet 3"/>
    <w:basedOn w:val="1"/>
    <w:qFormat/>
    <w:uiPriority w:val="0"/>
    <w:pPr>
      <w:tabs>
        <w:tab w:val="left" w:pos="1200"/>
      </w:tabs>
    </w:pPr>
    <w:rPr>
      <w:rFonts w:ascii="Calibri" w:hAnsi="Calibri"/>
    </w:rPr>
  </w:style>
  <w:style w:type="paragraph" w:styleId="36">
    <w:name w:val="Body Text"/>
    <w:basedOn w:val="1"/>
    <w:link w:val="119"/>
    <w:qFormat/>
    <w:uiPriority w:val="0"/>
    <w:pPr>
      <w:spacing w:after="120"/>
    </w:pPr>
    <w:rPr>
      <w:sz w:val="24"/>
    </w:rPr>
  </w:style>
  <w:style w:type="paragraph" w:styleId="37">
    <w:name w:val="List Number 3"/>
    <w:basedOn w:val="1"/>
    <w:qFormat/>
    <w:uiPriority w:val="0"/>
    <w:pPr>
      <w:tabs>
        <w:tab w:val="left" w:pos="1200"/>
      </w:tabs>
    </w:pPr>
    <w:rPr>
      <w:rFonts w:ascii="Calibri" w:hAnsi="Calibri"/>
    </w:rPr>
  </w:style>
  <w:style w:type="paragraph" w:styleId="38">
    <w:name w:val="List 2"/>
    <w:basedOn w:val="1"/>
    <w:qFormat/>
    <w:uiPriority w:val="0"/>
    <w:pPr>
      <w:widowControl/>
      <w:adjustRightInd w:val="0"/>
      <w:snapToGrid w:val="0"/>
      <w:spacing w:line="300" w:lineRule="auto"/>
      <w:ind w:left="100" w:leftChars="200" w:hanging="200" w:hangingChars="200"/>
      <w:jc w:val="left"/>
    </w:pPr>
    <w:rPr>
      <w:rFonts w:ascii="Tahoma" w:hAnsi="Tahoma" w:eastAsia="仿宋"/>
      <w:kern w:val="0"/>
      <w:szCs w:val="21"/>
    </w:rPr>
  </w:style>
  <w:style w:type="paragraph" w:styleId="39">
    <w:name w:val="List Continue"/>
    <w:basedOn w:val="1"/>
    <w:qFormat/>
    <w:uiPriority w:val="0"/>
    <w:pPr>
      <w:spacing w:before="240" w:line="300" w:lineRule="auto"/>
      <w:ind w:firstLine="200" w:firstLineChars="200"/>
      <w:jc w:val="center"/>
    </w:pPr>
    <w:rPr>
      <w:rFonts w:hAnsi="仿宋" w:eastAsia="仿宋"/>
      <w:b/>
      <w:kern w:val="0"/>
      <w:sz w:val="20"/>
      <w:szCs w:val="21"/>
    </w:rPr>
  </w:style>
  <w:style w:type="paragraph" w:styleId="40">
    <w:name w:val="Block Text"/>
    <w:basedOn w:val="1"/>
    <w:qFormat/>
    <w:uiPriority w:val="0"/>
    <w:pPr>
      <w:spacing w:line="640" w:lineRule="exact"/>
      <w:ind w:left="1228" w:right="-297" w:hanging="1228" w:hangingChars="399"/>
    </w:pPr>
    <w:rPr>
      <w:rFonts w:ascii="仿宋_GB2312" w:eastAsia="仿宋_GB2312"/>
      <w:sz w:val="32"/>
      <w:szCs w:val="32"/>
    </w:rPr>
  </w:style>
  <w:style w:type="paragraph" w:styleId="41">
    <w:name w:val="List Bullet 2"/>
    <w:basedOn w:val="1"/>
    <w:qFormat/>
    <w:uiPriority w:val="0"/>
    <w:pPr>
      <w:widowControl/>
      <w:tabs>
        <w:tab w:val="left" w:pos="1620"/>
      </w:tabs>
      <w:adjustRightInd w:val="0"/>
      <w:snapToGrid w:val="0"/>
      <w:spacing w:line="300" w:lineRule="auto"/>
      <w:jc w:val="left"/>
    </w:pPr>
    <w:rPr>
      <w:rFonts w:ascii="Tahoma" w:hAnsi="Tahoma" w:eastAsia="仿宋"/>
      <w:kern w:val="0"/>
      <w:szCs w:val="21"/>
    </w:rPr>
  </w:style>
  <w:style w:type="paragraph" w:styleId="42">
    <w:name w:val="HTML Address"/>
    <w:basedOn w:val="1"/>
    <w:link w:val="136"/>
    <w:qFormat/>
    <w:uiPriority w:val="0"/>
    <w:rPr>
      <w:rFonts w:ascii="Calibri" w:hAnsi="Calibri"/>
      <w:i/>
      <w:iCs/>
    </w:rPr>
  </w:style>
  <w:style w:type="paragraph" w:styleId="43">
    <w:name w:val="index 4"/>
    <w:basedOn w:val="1"/>
    <w:next w:val="1"/>
    <w:qFormat/>
    <w:uiPriority w:val="0"/>
    <w:pPr>
      <w:ind w:left="600" w:leftChars="600"/>
    </w:pPr>
    <w:rPr>
      <w:rFonts w:ascii="Calibri" w:hAnsi="Calibri"/>
    </w:rPr>
  </w:style>
  <w:style w:type="paragraph" w:styleId="44">
    <w:name w:val="toc 5"/>
    <w:basedOn w:val="1"/>
    <w:next w:val="1"/>
    <w:qFormat/>
    <w:uiPriority w:val="39"/>
    <w:pPr>
      <w:spacing w:line="300" w:lineRule="auto"/>
      <w:ind w:left="840" w:firstLine="200" w:firstLineChars="200"/>
      <w:jc w:val="left"/>
    </w:pPr>
    <w:rPr>
      <w:rFonts w:hAnsi="仿宋" w:eastAsia="仿宋"/>
      <w:sz w:val="18"/>
      <w:szCs w:val="18"/>
    </w:rPr>
  </w:style>
  <w:style w:type="paragraph" w:styleId="45">
    <w:name w:val="toc 3"/>
    <w:basedOn w:val="1"/>
    <w:next w:val="1"/>
    <w:qFormat/>
    <w:uiPriority w:val="39"/>
    <w:pPr>
      <w:ind w:left="840" w:leftChars="400"/>
    </w:pPr>
  </w:style>
  <w:style w:type="paragraph" w:styleId="46">
    <w:name w:val="Plain Text"/>
    <w:basedOn w:val="1"/>
    <w:link w:val="133"/>
    <w:qFormat/>
    <w:uiPriority w:val="99"/>
    <w:pPr>
      <w:ind w:firstLine="420" w:firstLineChars="200"/>
    </w:pPr>
    <w:rPr>
      <w:rFonts w:ascii="宋体" w:hAnsi="Roman 10cpi"/>
    </w:rPr>
  </w:style>
  <w:style w:type="paragraph" w:styleId="47">
    <w:name w:val="List Bullet 5"/>
    <w:basedOn w:val="1"/>
    <w:qFormat/>
    <w:uiPriority w:val="0"/>
    <w:pPr>
      <w:tabs>
        <w:tab w:val="left" w:pos="2040"/>
      </w:tabs>
    </w:pPr>
    <w:rPr>
      <w:rFonts w:ascii="Calibri" w:hAnsi="Calibri"/>
    </w:rPr>
  </w:style>
  <w:style w:type="paragraph" w:styleId="48">
    <w:name w:val="List Number 4"/>
    <w:basedOn w:val="1"/>
    <w:qFormat/>
    <w:uiPriority w:val="0"/>
    <w:pPr>
      <w:tabs>
        <w:tab w:val="left" w:pos="1620"/>
      </w:tabs>
    </w:pPr>
    <w:rPr>
      <w:rFonts w:ascii="Calibri" w:hAnsi="Calibri"/>
    </w:rPr>
  </w:style>
  <w:style w:type="paragraph" w:styleId="49">
    <w:name w:val="toc 8"/>
    <w:basedOn w:val="1"/>
    <w:next w:val="1"/>
    <w:qFormat/>
    <w:uiPriority w:val="39"/>
    <w:pPr>
      <w:spacing w:line="300" w:lineRule="auto"/>
      <w:ind w:left="1470" w:firstLine="200" w:firstLineChars="200"/>
      <w:jc w:val="left"/>
    </w:pPr>
    <w:rPr>
      <w:rFonts w:hAnsi="仿宋" w:eastAsia="仿宋"/>
      <w:sz w:val="18"/>
      <w:szCs w:val="18"/>
    </w:rPr>
  </w:style>
  <w:style w:type="paragraph" w:styleId="50">
    <w:name w:val="index 3"/>
    <w:basedOn w:val="1"/>
    <w:next w:val="1"/>
    <w:qFormat/>
    <w:uiPriority w:val="0"/>
    <w:pPr>
      <w:ind w:left="400" w:leftChars="400"/>
    </w:pPr>
    <w:rPr>
      <w:rFonts w:ascii="Calibri" w:hAnsi="Calibri"/>
    </w:rPr>
  </w:style>
  <w:style w:type="paragraph" w:styleId="51">
    <w:name w:val="Date"/>
    <w:basedOn w:val="1"/>
    <w:next w:val="1"/>
    <w:link w:val="124"/>
    <w:qFormat/>
    <w:uiPriority w:val="0"/>
    <w:pPr>
      <w:ind w:left="100" w:leftChars="2500"/>
    </w:pPr>
    <w:rPr>
      <w:kern w:val="0"/>
      <w:sz w:val="24"/>
    </w:rPr>
  </w:style>
  <w:style w:type="paragraph" w:styleId="52">
    <w:name w:val="Body Text Indent 2"/>
    <w:basedOn w:val="1"/>
    <w:link w:val="130"/>
    <w:qFormat/>
    <w:uiPriority w:val="0"/>
    <w:pPr>
      <w:spacing w:after="120" w:line="480" w:lineRule="auto"/>
      <w:ind w:left="200" w:leftChars="200" w:firstLine="200" w:firstLineChars="200"/>
    </w:pPr>
    <w:rPr>
      <w:rFonts w:hAnsi="仿宋" w:eastAsia="仿宋"/>
      <w:szCs w:val="20"/>
    </w:rPr>
  </w:style>
  <w:style w:type="paragraph" w:styleId="53">
    <w:name w:val="endnote text"/>
    <w:basedOn w:val="1"/>
    <w:link w:val="114"/>
    <w:qFormat/>
    <w:uiPriority w:val="0"/>
    <w:pPr>
      <w:snapToGrid w:val="0"/>
      <w:ind w:firstLine="200" w:firstLineChars="200"/>
      <w:jc w:val="left"/>
    </w:pPr>
    <w:rPr>
      <w:rFonts w:hAnsi="仿宋" w:eastAsia="仿宋"/>
    </w:rPr>
  </w:style>
  <w:style w:type="paragraph" w:styleId="54">
    <w:name w:val="List Continue 5"/>
    <w:basedOn w:val="1"/>
    <w:qFormat/>
    <w:uiPriority w:val="0"/>
    <w:pPr>
      <w:spacing w:after="120"/>
      <w:ind w:left="2100" w:leftChars="1000"/>
    </w:pPr>
    <w:rPr>
      <w:rFonts w:ascii="Calibri" w:hAnsi="Calibri"/>
    </w:rPr>
  </w:style>
  <w:style w:type="paragraph" w:styleId="55">
    <w:name w:val="Balloon Text"/>
    <w:basedOn w:val="1"/>
    <w:link w:val="140"/>
    <w:qFormat/>
    <w:uiPriority w:val="0"/>
    <w:pPr>
      <w:widowControl/>
      <w:ind w:firstLine="360"/>
      <w:jc w:val="left"/>
    </w:pPr>
    <w:rPr>
      <w:rFonts w:ascii="Calibri" w:hAnsi="Calibri"/>
      <w:kern w:val="0"/>
      <w:sz w:val="18"/>
      <w:szCs w:val="20"/>
    </w:rPr>
  </w:style>
  <w:style w:type="paragraph" w:styleId="56">
    <w:name w:val="footer"/>
    <w:basedOn w:val="1"/>
    <w:link w:val="112"/>
    <w:qFormat/>
    <w:uiPriority w:val="99"/>
    <w:pPr>
      <w:tabs>
        <w:tab w:val="center" w:pos="4153"/>
        <w:tab w:val="right" w:pos="8306"/>
      </w:tabs>
      <w:snapToGrid w:val="0"/>
      <w:jc w:val="left"/>
    </w:pPr>
    <w:rPr>
      <w:kern w:val="0"/>
      <w:sz w:val="18"/>
      <w:szCs w:val="20"/>
    </w:rPr>
  </w:style>
  <w:style w:type="paragraph" w:styleId="57">
    <w:name w:val="envelope return"/>
    <w:basedOn w:val="1"/>
    <w:qFormat/>
    <w:uiPriority w:val="0"/>
    <w:pPr>
      <w:snapToGrid w:val="0"/>
    </w:pPr>
    <w:rPr>
      <w:rFonts w:ascii="Arial" w:hAnsi="Arial" w:cs="Arial"/>
    </w:rPr>
  </w:style>
  <w:style w:type="paragraph" w:styleId="58">
    <w:name w:val="header"/>
    <w:basedOn w:val="1"/>
    <w:link w:val="111"/>
    <w:qFormat/>
    <w:uiPriority w:val="99"/>
    <w:pPr>
      <w:pBdr>
        <w:bottom w:val="single" w:color="auto" w:sz="6" w:space="1"/>
      </w:pBdr>
      <w:tabs>
        <w:tab w:val="center" w:pos="4153"/>
        <w:tab w:val="right" w:pos="8306"/>
      </w:tabs>
      <w:snapToGrid w:val="0"/>
      <w:jc w:val="center"/>
    </w:pPr>
    <w:rPr>
      <w:sz w:val="18"/>
      <w:szCs w:val="18"/>
    </w:rPr>
  </w:style>
  <w:style w:type="paragraph" w:styleId="59">
    <w:name w:val="Signature"/>
    <w:basedOn w:val="1"/>
    <w:link w:val="118"/>
    <w:qFormat/>
    <w:uiPriority w:val="0"/>
    <w:pPr>
      <w:ind w:left="100" w:leftChars="2100"/>
    </w:pPr>
    <w:rPr>
      <w:rFonts w:ascii="Calibri" w:hAnsi="Calibri"/>
    </w:rPr>
  </w:style>
  <w:style w:type="paragraph" w:styleId="60">
    <w:name w:val="toc 1"/>
    <w:basedOn w:val="1"/>
    <w:next w:val="1"/>
    <w:qFormat/>
    <w:uiPriority w:val="39"/>
    <w:pPr>
      <w:tabs>
        <w:tab w:val="left" w:pos="432"/>
        <w:tab w:val="left" w:pos="540"/>
        <w:tab w:val="right" w:leader="dot" w:pos="9180"/>
      </w:tabs>
      <w:spacing w:line="400" w:lineRule="exact"/>
      <w:jc w:val="left"/>
    </w:pPr>
    <w:rPr>
      <w:rFonts w:ascii="宋体" w:hAnsi="宋体"/>
      <w:bCs/>
      <w:caps/>
      <w:sz w:val="24"/>
    </w:rPr>
  </w:style>
  <w:style w:type="paragraph" w:styleId="61">
    <w:name w:val="List Continue 4"/>
    <w:basedOn w:val="1"/>
    <w:qFormat/>
    <w:uiPriority w:val="0"/>
    <w:pPr>
      <w:spacing w:after="120"/>
      <w:ind w:left="1680" w:leftChars="800"/>
    </w:pPr>
    <w:rPr>
      <w:rFonts w:ascii="Calibri" w:hAnsi="Calibri"/>
    </w:rPr>
  </w:style>
  <w:style w:type="paragraph" w:styleId="62">
    <w:name w:val="toc 4"/>
    <w:basedOn w:val="1"/>
    <w:next w:val="1"/>
    <w:qFormat/>
    <w:uiPriority w:val="39"/>
    <w:pPr>
      <w:ind w:left="630" w:firstLine="200" w:firstLineChars="200"/>
      <w:jc w:val="left"/>
    </w:pPr>
    <w:rPr>
      <w:rFonts w:hAnsi="仿宋" w:eastAsia="仿宋"/>
      <w:sz w:val="18"/>
      <w:szCs w:val="18"/>
    </w:rPr>
  </w:style>
  <w:style w:type="paragraph" w:styleId="63">
    <w:name w:val="index heading"/>
    <w:basedOn w:val="1"/>
    <w:next w:val="64"/>
    <w:qFormat/>
    <w:uiPriority w:val="0"/>
    <w:rPr>
      <w:rFonts w:ascii="Arial" w:hAnsi="Arial" w:cs="Arial"/>
      <w:b/>
      <w:bCs/>
    </w:rPr>
  </w:style>
  <w:style w:type="paragraph" w:styleId="64">
    <w:name w:val="index 1"/>
    <w:basedOn w:val="1"/>
    <w:next w:val="1"/>
    <w:unhideWhenUsed/>
    <w:qFormat/>
    <w:uiPriority w:val="0"/>
  </w:style>
  <w:style w:type="paragraph" w:styleId="65">
    <w:name w:val="Subtitle"/>
    <w:basedOn w:val="1"/>
    <w:next w:val="1"/>
    <w:link w:val="122"/>
    <w:qFormat/>
    <w:uiPriority w:val="0"/>
    <w:pPr>
      <w:spacing w:before="240" w:after="60" w:line="312" w:lineRule="auto"/>
      <w:jc w:val="center"/>
      <w:outlineLvl w:val="1"/>
    </w:pPr>
    <w:rPr>
      <w:rFonts w:asciiTheme="majorHAnsi" w:hAnsiTheme="majorHAnsi" w:cstheme="majorBidi"/>
      <w:b/>
      <w:bCs/>
      <w:kern w:val="28"/>
      <w:sz w:val="32"/>
      <w:szCs w:val="32"/>
    </w:rPr>
  </w:style>
  <w:style w:type="paragraph" w:styleId="66">
    <w:name w:val="List Number 5"/>
    <w:basedOn w:val="1"/>
    <w:qFormat/>
    <w:uiPriority w:val="0"/>
    <w:pPr>
      <w:tabs>
        <w:tab w:val="left" w:pos="2040"/>
      </w:tabs>
    </w:pPr>
    <w:rPr>
      <w:rFonts w:ascii="Calibri" w:hAnsi="Calibri"/>
    </w:rPr>
  </w:style>
  <w:style w:type="paragraph" w:styleId="67">
    <w:name w:val="List"/>
    <w:basedOn w:val="1"/>
    <w:qFormat/>
    <w:uiPriority w:val="0"/>
    <w:pPr>
      <w:ind w:left="200" w:hanging="200" w:hangingChars="200"/>
    </w:pPr>
    <w:rPr>
      <w:rFonts w:ascii="Calibri" w:hAnsi="Calibri"/>
    </w:rPr>
  </w:style>
  <w:style w:type="paragraph" w:styleId="68">
    <w:name w:val="footnote text"/>
    <w:basedOn w:val="1"/>
    <w:link w:val="109"/>
    <w:qFormat/>
    <w:uiPriority w:val="99"/>
    <w:pPr>
      <w:ind w:firstLine="200" w:firstLineChars="200"/>
    </w:pPr>
    <w:rPr>
      <w:rFonts w:hAnsi="仿宋" w:eastAsia="仿宋"/>
    </w:rPr>
  </w:style>
  <w:style w:type="paragraph" w:styleId="69">
    <w:name w:val="toc 6"/>
    <w:basedOn w:val="1"/>
    <w:next w:val="1"/>
    <w:qFormat/>
    <w:uiPriority w:val="39"/>
    <w:pPr>
      <w:spacing w:line="300" w:lineRule="auto"/>
      <w:ind w:left="1050" w:firstLine="200" w:firstLineChars="200"/>
      <w:jc w:val="left"/>
    </w:pPr>
    <w:rPr>
      <w:rFonts w:hAnsi="仿宋" w:eastAsia="仿宋"/>
      <w:sz w:val="18"/>
      <w:szCs w:val="18"/>
    </w:rPr>
  </w:style>
  <w:style w:type="paragraph" w:styleId="70">
    <w:name w:val="List 5"/>
    <w:basedOn w:val="1"/>
    <w:qFormat/>
    <w:uiPriority w:val="0"/>
    <w:pPr>
      <w:ind w:left="100" w:leftChars="800" w:hanging="200" w:hangingChars="200"/>
    </w:pPr>
    <w:rPr>
      <w:rFonts w:ascii="Calibri" w:hAnsi="Calibri"/>
    </w:rPr>
  </w:style>
  <w:style w:type="paragraph" w:styleId="71">
    <w:name w:val="Body Text Indent 3"/>
    <w:basedOn w:val="1"/>
    <w:link w:val="131"/>
    <w:qFormat/>
    <w:uiPriority w:val="0"/>
    <w:pPr>
      <w:widowControl/>
      <w:spacing w:line="360" w:lineRule="auto"/>
      <w:ind w:firstLine="480" w:firstLineChars="200"/>
    </w:pPr>
    <w:rPr>
      <w:rFonts w:ascii="Arial" w:hAnsi="Arial"/>
      <w:szCs w:val="16"/>
    </w:rPr>
  </w:style>
  <w:style w:type="paragraph" w:styleId="72">
    <w:name w:val="index 7"/>
    <w:basedOn w:val="1"/>
    <w:next w:val="1"/>
    <w:qFormat/>
    <w:uiPriority w:val="0"/>
    <w:pPr>
      <w:ind w:left="1200" w:leftChars="1200"/>
    </w:pPr>
    <w:rPr>
      <w:rFonts w:ascii="Calibri" w:hAnsi="Calibri"/>
    </w:rPr>
  </w:style>
  <w:style w:type="paragraph" w:styleId="73">
    <w:name w:val="index 9"/>
    <w:basedOn w:val="1"/>
    <w:next w:val="1"/>
    <w:qFormat/>
    <w:uiPriority w:val="0"/>
    <w:pPr>
      <w:ind w:left="1600" w:leftChars="1600"/>
    </w:pPr>
    <w:rPr>
      <w:rFonts w:ascii="Calibri" w:hAnsi="Calibri"/>
    </w:rPr>
  </w:style>
  <w:style w:type="paragraph" w:styleId="74">
    <w:name w:val="table of figures"/>
    <w:basedOn w:val="1"/>
    <w:next w:val="1"/>
    <w:qFormat/>
    <w:uiPriority w:val="0"/>
    <w:pPr>
      <w:ind w:left="200" w:leftChars="200" w:hanging="200" w:hangingChars="200"/>
    </w:pPr>
    <w:rPr>
      <w:rFonts w:ascii="Calibri" w:hAnsi="Calibri"/>
    </w:rPr>
  </w:style>
  <w:style w:type="paragraph" w:styleId="75">
    <w:name w:val="toc 2"/>
    <w:basedOn w:val="1"/>
    <w:next w:val="1"/>
    <w:qFormat/>
    <w:uiPriority w:val="0"/>
    <w:pPr>
      <w:ind w:left="200" w:leftChars="200"/>
    </w:pPr>
  </w:style>
  <w:style w:type="paragraph" w:styleId="76">
    <w:name w:val="toc 9"/>
    <w:basedOn w:val="1"/>
    <w:next w:val="1"/>
    <w:qFormat/>
    <w:uiPriority w:val="39"/>
    <w:pPr>
      <w:spacing w:line="300" w:lineRule="auto"/>
      <w:ind w:left="1680" w:firstLine="200" w:firstLineChars="200"/>
      <w:jc w:val="left"/>
    </w:pPr>
    <w:rPr>
      <w:rFonts w:hAnsi="仿宋" w:eastAsia="仿宋"/>
      <w:sz w:val="18"/>
      <w:szCs w:val="18"/>
    </w:rPr>
  </w:style>
  <w:style w:type="paragraph" w:styleId="77">
    <w:name w:val="Body Text 2"/>
    <w:basedOn w:val="1"/>
    <w:link w:val="128"/>
    <w:qFormat/>
    <w:uiPriority w:val="0"/>
    <w:pPr>
      <w:spacing w:after="120" w:line="480" w:lineRule="auto"/>
      <w:ind w:firstLine="200" w:firstLineChars="200"/>
    </w:pPr>
    <w:rPr>
      <w:rFonts w:hAnsi="仿宋" w:eastAsia="仿宋"/>
      <w:szCs w:val="20"/>
    </w:rPr>
  </w:style>
  <w:style w:type="paragraph" w:styleId="78">
    <w:name w:val="List 4"/>
    <w:basedOn w:val="1"/>
    <w:qFormat/>
    <w:uiPriority w:val="0"/>
    <w:pPr>
      <w:ind w:left="100" w:leftChars="600" w:hanging="200" w:hangingChars="200"/>
    </w:pPr>
    <w:rPr>
      <w:rFonts w:ascii="Calibri" w:hAnsi="Calibri"/>
    </w:rPr>
  </w:style>
  <w:style w:type="paragraph" w:styleId="79">
    <w:name w:val="List Continue 2"/>
    <w:basedOn w:val="1"/>
    <w:qFormat/>
    <w:uiPriority w:val="0"/>
    <w:pPr>
      <w:spacing w:after="120"/>
      <w:ind w:left="840" w:leftChars="400"/>
    </w:pPr>
    <w:rPr>
      <w:rFonts w:ascii="Calibri" w:hAnsi="Calibri"/>
    </w:rPr>
  </w:style>
  <w:style w:type="paragraph" w:styleId="80">
    <w:name w:val="Message Header"/>
    <w:basedOn w:val="1"/>
    <w:link w:val="12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rPr>
  </w:style>
  <w:style w:type="paragraph" w:styleId="81">
    <w:name w:val="HTML Preformatted"/>
    <w:basedOn w:val="1"/>
    <w:link w:val="13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0" w:firstLineChars="200"/>
      <w:jc w:val="left"/>
    </w:pPr>
    <w:rPr>
      <w:rFonts w:ascii="仿宋" w:hAnsi="宋体" w:eastAsia="仿宋"/>
      <w:kern w:val="0"/>
    </w:rPr>
  </w:style>
  <w:style w:type="paragraph" w:styleId="82">
    <w:name w:val="Normal (Web)"/>
    <w:basedOn w:val="1"/>
    <w:link w:val="135"/>
    <w:qFormat/>
    <w:uiPriority w:val="0"/>
    <w:pPr>
      <w:widowControl/>
      <w:spacing w:before="100" w:beforeAutospacing="1" w:after="100" w:afterAutospacing="1"/>
      <w:jc w:val="left"/>
    </w:pPr>
    <w:rPr>
      <w:rFonts w:ascii="宋体" w:hAnsi="宋体"/>
      <w:kern w:val="0"/>
      <w:sz w:val="24"/>
    </w:rPr>
  </w:style>
  <w:style w:type="paragraph" w:styleId="83">
    <w:name w:val="List Continue 3"/>
    <w:basedOn w:val="1"/>
    <w:qFormat/>
    <w:uiPriority w:val="0"/>
    <w:pPr>
      <w:spacing w:after="120"/>
      <w:ind w:left="1260" w:leftChars="600"/>
    </w:pPr>
    <w:rPr>
      <w:rFonts w:ascii="Calibri" w:hAnsi="Calibri"/>
    </w:rPr>
  </w:style>
  <w:style w:type="paragraph" w:styleId="84">
    <w:name w:val="index 2"/>
    <w:basedOn w:val="1"/>
    <w:next w:val="1"/>
    <w:qFormat/>
    <w:uiPriority w:val="0"/>
    <w:pPr>
      <w:ind w:left="200" w:leftChars="200"/>
    </w:pPr>
    <w:rPr>
      <w:rFonts w:ascii="Calibri" w:hAnsi="Calibri"/>
    </w:rPr>
  </w:style>
  <w:style w:type="paragraph" w:styleId="85">
    <w:name w:val="Title"/>
    <w:basedOn w:val="1"/>
    <w:next w:val="1"/>
    <w:link w:val="116"/>
    <w:qFormat/>
    <w:uiPriority w:val="0"/>
    <w:pPr>
      <w:spacing w:before="240" w:after="60"/>
      <w:jc w:val="center"/>
      <w:outlineLvl w:val="0"/>
    </w:pPr>
    <w:rPr>
      <w:rFonts w:ascii="Cambria" w:hAnsi="Cambria"/>
      <w:b/>
      <w:bCs/>
      <w:sz w:val="32"/>
      <w:szCs w:val="32"/>
    </w:rPr>
  </w:style>
  <w:style w:type="paragraph" w:styleId="86">
    <w:name w:val="annotation subject"/>
    <w:basedOn w:val="30"/>
    <w:next w:val="30"/>
    <w:link w:val="138"/>
    <w:unhideWhenUsed/>
    <w:qFormat/>
    <w:uiPriority w:val="99"/>
    <w:pPr>
      <w:spacing w:line="300" w:lineRule="auto"/>
      <w:ind w:firstLine="200" w:firstLineChars="200"/>
    </w:pPr>
    <w:rPr>
      <w:b/>
      <w:bCs/>
      <w:sz w:val="21"/>
    </w:rPr>
  </w:style>
  <w:style w:type="paragraph" w:styleId="87">
    <w:name w:val="Body Text First Indent"/>
    <w:basedOn w:val="36"/>
    <w:link w:val="125"/>
    <w:qFormat/>
    <w:uiPriority w:val="0"/>
    <w:pPr>
      <w:ind w:firstLine="420" w:firstLineChars="100"/>
    </w:pPr>
  </w:style>
  <w:style w:type="table" w:styleId="89">
    <w:name w:val="Table Grid"/>
    <w:basedOn w:val="8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1">
    <w:name w:val="Strong"/>
    <w:qFormat/>
    <w:uiPriority w:val="0"/>
    <w:rPr>
      <w:b/>
      <w:bCs/>
    </w:rPr>
  </w:style>
  <w:style w:type="character" w:styleId="92">
    <w:name w:val="endnote reference"/>
    <w:qFormat/>
    <w:uiPriority w:val="0"/>
    <w:rPr>
      <w:vertAlign w:val="superscript"/>
    </w:rPr>
  </w:style>
  <w:style w:type="character" w:styleId="93">
    <w:name w:val="page number"/>
    <w:qFormat/>
    <w:uiPriority w:val="99"/>
  </w:style>
  <w:style w:type="character" w:styleId="94">
    <w:name w:val="FollowedHyperlink"/>
    <w:qFormat/>
    <w:uiPriority w:val="99"/>
    <w:rPr>
      <w:color w:val="800080"/>
      <w:u w:val="single"/>
    </w:rPr>
  </w:style>
  <w:style w:type="character" w:styleId="95">
    <w:name w:val="Emphasis"/>
    <w:qFormat/>
    <w:uiPriority w:val="0"/>
    <w:rPr>
      <w:i/>
      <w:iCs/>
    </w:rPr>
  </w:style>
  <w:style w:type="character" w:styleId="96">
    <w:name w:val="Hyperlink"/>
    <w:qFormat/>
    <w:uiPriority w:val="0"/>
    <w:rPr>
      <w:rFonts w:cs="Times New Roman"/>
      <w:color w:val="0000FF"/>
      <w:spacing w:val="0"/>
      <w:w w:val="100"/>
      <w:sz w:val="21"/>
      <w:u w:val="single"/>
    </w:rPr>
  </w:style>
  <w:style w:type="character" w:styleId="97">
    <w:name w:val="annotation reference"/>
    <w:unhideWhenUsed/>
    <w:qFormat/>
    <w:uiPriority w:val="0"/>
    <w:rPr>
      <w:sz w:val="21"/>
      <w:szCs w:val="21"/>
    </w:rPr>
  </w:style>
  <w:style w:type="character" w:styleId="98">
    <w:name w:val="HTML Cite"/>
    <w:unhideWhenUsed/>
    <w:qFormat/>
    <w:uiPriority w:val="99"/>
    <w:rPr>
      <w:color w:val="008000"/>
    </w:rPr>
  </w:style>
  <w:style w:type="character" w:styleId="99">
    <w:name w:val="footnote reference"/>
    <w:qFormat/>
    <w:uiPriority w:val="99"/>
    <w:rPr>
      <w:vertAlign w:val="superscript"/>
    </w:rPr>
  </w:style>
  <w:style w:type="character" w:customStyle="1" w:styleId="100">
    <w:name w:val="标题 1 Char"/>
    <w:basedOn w:val="90"/>
    <w:link w:val="5"/>
    <w:qFormat/>
    <w:uiPriority w:val="0"/>
    <w:rPr>
      <w:rFonts w:ascii="楷体_GB2312" w:eastAsia="楷体_GB2312" w:cstheme="minorBidi"/>
      <w:b/>
      <w:kern w:val="2"/>
      <w:sz w:val="28"/>
      <w:szCs w:val="24"/>
    </w:rPr>
  </w:style>
  <w:style w:type="character" w:customStyle="1" w:styleId="101">
    <w:name w:val="标题 2 Char"/>
    <w:basedOn w:val="90"/>
    <w:link w:val="6"/>
    <w:qFormat/>
    <w:uiPriority w:val="0"/>
    <w:rPr>
      <w:rFonts w:ascii="Arial" w:hAnsi="Arial" w:eastAsia="黑体" w:cstheme="minorBidi"/>
      <w:b/>
      <w:bCs/>
      <w:kern w:val="2"/>
      <w:sz w:val="32"/>
      <w:szCs w:val="32"/>
    </w:rPr>
  </w:style>
  <w:style w:type="character" w:customStyle="1" w:styleId="102">
    <w:name w:val="标题 3 Char"/>
    <w:basedOn w:val="90"/>
    <w:link w:val="7"/>
    <w:qFormat/>
    <w:uiPriority w:val="0"/>
    <w:rPr>
      <w:rFonts w:cstheme="minorBidi"/>
      <w:b/>
      <w:bCs/>
      <w:kern w:val="2"/>
      <w:sz w:val="32"/>
      <w:szCs w:val="32"/>
    </w:rPr>
  </w:style>
  <w:style w:type="character" w:customStyle="1" w:styleId="103">
    <w:name w:val="标题 4 Char"/>
    <w:basedOn w:val="90"/>
    <w:link w:val="8"/>
    <w:qFormat/>
    <w:uiPriority w:val="0"/>
    <w:rPr>
      <w:rFonts w:ascii="Arial" w:hAnsi="Arial" w:eastAsia="黑体" w:cstheme="minorBidi"/>
      <w:b/>
      <w:bCs/>
      <w:kern w:val="2"/>
      <w:sz w:val="28"/>
      <w:szCs w:val="28"/>
    </w:rPr>
  </w:style>
  <w:style w:type="character" w:customStyle="1" w:styleId="104">
    <w:name w:val="标题 5 Char"/>
    <w:basedOn w:val="90"/>
    <w:link w:val="9"/>
    <w:qFormat/>
    <w:uiPriority w:val="0"/>
    <w:rPr>
      <w:rFonts w:cstheme="minorBidi"/>
      <w:b/>
      <w:bCs/>
      <w:kern w:val="2"/>
      <w:sz w:val="28"/>
      <w:szCs w:val="28"/>
    </w:rPr>
  </w:style>
  <w:style w:type="character" w:customStyle="1" w:styleId="105">
    <w:name w:val="标题 6 Char"/>
    <w:basedOn w:val="90"/>
    <w:link w:val="10"/>
    <w:qFormat/>
    <w:uiPriority w:val="0"/>
    <w:rPr>
      <w:rFonts w:ascii="Arial" w:hAnsi="Arial" w:eastAsia="黑体" w:cstheme="minorBidi"/>
      <w:b/>
      <w:bCs/>
      <w:kern w:val="2"/>
      <w:sz w:val="24"/>
      <w:szCs w:val="24"/>
    </w:rPr>
  </w:style>
  <w:style w:type="character" w:customStyle="1" w:styleId="106">
    <w:name w:val="标题 7 Char"/>
    <w:basedOn w:val="90"/>
    <w:link w:val="11"/>
    <w:qFormat/>
    <w:uiPriority w:val="0"/>
    <w:rPr>
      <w:rFonts w:cstheme="minorBidi"/>
      <w:b/>
      <w:bCs/>
      <w:kern w:val="2"/>
      <w:sz w:val="24"/>
      <w:szCs w:val="24"/>
    </w:rPr>
  </w:style>
  <w:style w:type="character" w:customStyle="1" w:styleId="107">
    <w:name w:val="标题 8 Char"/>
    <w:basedOn w:val="90"/>
    <w:link w:val="12"/>
    <w:qFormat/>
    <w:uiPriority w:val="0"/>
    <w:rPr>
      <w:rFonts w:ascii="Arial" w:hAnsi="Arial" w:eastAsia="黑体" w:cstheme="minorBidi"/>
      <w:kern w:val="2"/>
      <w:sz w:val="24"/>
      <w:szCs w:val="24"/>
    </w:rPr>
  </w:style>
  <w:style w:type="character" w:customStyle="1" w:styleId="108">
    <w:name w:val="标题 9 Char"/>
    <w:basedOn w:val="90"/>
    <w:link w:val="13"/>
    <w:qFormat/>
    <w:uiPriority w:val="0"/>
    <w:rPr>
      <w:rFonts w:ascii="Arial" w:hAnsi="Arial" w:eastAsia="黑体" w:cstheme="minorBidi"/>
      <w:kern w:val="2"/>
      <w:sz w:val="21"/>
      <w:szCs w:val="21"/>
    </w:rPr>
  </w:style>
  <w:style w:type="character" w:customStyle="1" w:styleId="109">
    <w:name w:val="脚注文本 Char"/>
    <w:link w:val="68"/>
    <w:qFormat/>
    <w:uiPriority w:val="99"/>
    <w:rPr>
      <w:rFonts w:hAnsi="仿宋" w:eastAsia="仿宋" w:cstheme="minorBidi"/>
      <w:kern w:val="2"/>
      <w:sz w:val="21"/>
      <w:szCs w:val="24"/>
    </w:rPr>
  </w:style>
  <w:style w:type="character" w:customStyle="1" w:styleId="110">
    <w:name w:val="批注文字 Char"/>
    <w:link w:val="30"/>
    <w:qFormat/>
    <w:uiPriority w:val="0"/>
    <w:rPr>
      <w:rFonts w:cstheme="minorBidi"/>
      <w:kern w:val="2"/>
      <w:sz w:val="24"/>
      <w:szCs w:val="24"/>
    </w:rPr>
  </w:style>
  <w:style w:type="character" w:customStyle="1" w:styleId="111">
    <w:name w:val="页眉 Char"/>
    <w:link w:val="58"/>
    <w:qFormat/>
    <w:uiPriority w:val="99"/>
    <w:rPr>
      <w:rFonts w:cstheme="minorBidi"/>
      <w:kern w:val="2"/>
      <w:sz w:val="18"/>
      <w:szCs w:val="18"/>
    </w:rPr>
  </w:style>
  <w:style w:type="character" w:customStyle="1" w:styleId="112">
    <w:name w:val="页脚 Char"/>
    <w:link w:val="56"/>
    <w:qFormat/>
    <w:uiPriority w:val="99"/>
    <w:rPr>
      <w:rFonts w:cstheme="minorBidi"/>
      <w:sz w:val="18"/>
    </w:rPr>
  </w:style>
  <w:style w:type="character" w:customStyle="1" w:styleId="113">
    <w:name w:val="题注 Char"/>
    <w:link w:val="24"/>
    <w:semiHidden/>
    <w:qFormat/>
    <w:uiPriority w:val="0"/>
    <w:rPr>
      <w:rFonts w:eastAsia="黑体" w:asciiTheme="majorHAnsi" w:hAnsiTheme="majorHAnsi" w:cstheme="majorBidi"/>
      <w:kern w:val="2"/>
    </w:rPr>
  </w:style>
  <w:style w:type="character" w:customStyle="1" w:styleId="114">
    <w:name w:val="尾注文本 Char"/>
    <w:link w:val="53"/>
    <w:qFormat/>
    <w:uiPriority w:val="0"/>
    <w:rPr>
      <w:rFonts w:hAnsi="仿宋" w:eastAsia="仿宋" w:cstheme="minorBidi"/>
      <w:kern w:val="2"/>
      <w:sz w:val="21"/>
      <w:szCs w:val="24"/>
    </w:rPr>
  </w:style>
  <w:style w:type="character" w:customStyle="1" w:styleId="115">
    <w:name w:val="宏文本 Char"/>
    <w:link w:val="4"/>
    <w:qFormat/>
    <w:uiPriority w:val="0"/>
    <w:rPr>
      <w:rFonts w:ascii="Courier New" w:hAnsi="Courier New" w:cs="Courier New"/>
      <w:kern w:val="2"/>
      <w:sz w:val="24"/>
      <w:szCs w:val="24"/>
      <w:lang w:val="en-US" w:eastAsia="zh-CN" w:bidi="ar-SA"/>
    </w:rPr>
  </w:style>
  <w:style w:type="character" w:customStyle="1" w:styleId="116">
    <w:name w:val="标题 Char"/>
    <w:basedOn w:val="90"/>
    <w:link w:val="85"/>
    <w:qFormat/>
    <w:uiPriority w:val="0"/>
    <w:rPr>
      <w:rFonts w:ascii="Cambria" w:hAnsi="Cambria" w:cstheme="minorBidi"/>
      <w:b/>
      <w:bCs/>
      <w:kern w:val="2"/>
      <w:sz w:val="32"/>
      <w:szCs w:val="32"/>
    </w:rPr>
  </w:style>
  <w:style w:type="character" w:customStyle="1" w:styleId="117">
    <w:name w:val="结束语 Char"/>
    <w:link w:val="34"/>
    <w:qFormat/>
    <w:uiPriority w:val="0"/>
    <w:rPr>
      <w:rFonts w:ascii="Calibri" w:hAnsi="Calibri" w:cstheme="minorBidi"/>
      <w:kern w:val="2"/>
      <w:sz w:val="21"/>
      <w:szCs w:val="22"/>
    </w:rPr>
  </w:style>
  <w:style w:type="character" w:customStyle="1" w:styleId="118">
    <w:name w:val="签名 Char"/>
    <w:link w:val="59"/>
    <w:qFormat/>
    <w:uiPriority w:val="0"/>
    <w:rPr>
      <w:rFonts w:ascii="Calibri" w:hAnsi="Calibri" w:cstheme="minorBidi"/>
      <w:kern w:val="2"/>
      <w:sz w:val="21"/>
      <w:szCs w:val="22"/>
    </w:rPr>
  </w:style>
  <w:style w:type="character" w:customStyle="1" w:styleId="119">
    <w:name w:val="正文文本 Char"/>
    <w:link w:val="36"/>
    <w:qFormat/>
    <w:uiPriority w:val="0"/>
    <w:rPr>
      <w:rFonts w:cstheme="minorBidi"/>
      <w:kern w:val="2"/>
      <w:sz w:val="24"/>
      <w:szCs w:val="24"/>
    </w:rPr>
  </w:style>
  <w:style w:type="character" w:customStyle="1" w:styleId="120">
    <w:name w:val="正文文本缩进 Char"/>
    <w:link w:val="3"/>
    <w:qFormat/>
    <w:uiPriority w:val="0"/>
    <w:rPr>
      <w:rFonts w:cstheme="minorBidi"/>
      <w:sz w:val="24"/>
      <w:szCs w:val="24"/>
    </w:rPr>
  </w:style>
  <w:style w:type="character" w:customStyle="1" w:styleId="121">
    <w:name w:val="信息标题 Char"/>
    <w:link w:val="80"/>
    <w:qFormat/>
    <w:uiPriority w:val="0"/>
    <w:rPr>
      <w:rFonts w:ascii="Arial" w:hAnsi="Arial" w:cs="Arial"/>
      <w:kern w:val="2"/>
      <w:sz w:val="21"/>
      <w:szCs w:val="24"/>
      <w:shd w:val="pct20" w:color="auto" w:fill="auto"/>
    </w:rPr>
  </w:style>
  <w:style w:type="character" w:customStyle="1" w:styleId="122">
    <w:name w:val="副标题 Char"/>
    <w:link w:val="65"/>
    <w:qFormat/>
    <w:uiPriority w:val="0"/>
    <w:rPr>
      <w:rFonts w:asciiTheme="majorHAnsi" w:hAnsiTheme="majorHAnsi" w:cstheme="majorBidi"/>
      <w:b/>
      <w:bCs/>
      <w:kern w:val="28"/>
      <w:sz w:val="32"/>
      <w:szCs w:val="32"/>
    </w:rPr>
  </w:style>
  <w:style w:type="character" w:customStyle="1" w:styleId="123">
    <w:name w:val="称呼 Char"/>
    <w:link w:val="32"/>
    <w:qFormat/>
    <w:uiPriority w:val="0"/>
    <w:rPr>
      <w:rFonts w:hAnsi="仿宋" w:eastAsia="仿宋" w:cstheme="minorBidi"/>
      <w:kern w:val="2"/>
      <w:sz w:val="21"/>
    </w:rPr>
  </w:style>
  <w:style w:type="character" w:customStyle="1" w:styleId="124">
    <w:name w:val="日期 Char"/>
    <w:link w:val="51"/>
    <w:qFormat/>
    <w:uiPriority w:val="0"/>
    <w:rPr>
      <w:rFonts w:cstheme="minorBidi"/>
      <w:sz w:val="24"/>
      <w:szCs w:val="24"/>
    </w:rPr>
  </w:style>
  <w:style w:type="character" w:customStyle="1" w:styleId="125">
    <w:name w:val="正文首行缩进 Char"/>
    <w:link w:val="87"/>
    <w:qFormat/>
    <w:uiPriority w:val="0"/>
    <w:rPr>
      <w:rFonts w:cstheme="minorBidi"/>
      <w:kern w:val="2"/>
      <w:sz w:val="24"/>
      <w:szCs w:val="24"/>
    </w:rPr>
  </w:style>
  <w:style w:type="character" w:customStyle="1" w:styleId="126">
    <w:name w:val="正文首行缩进 2 Char"/>
    <w:link w:val="2"/>
    <w:qFormat/>
    <w:uiPriority w:val="0"/>
    <w:rPr>
      <w:rFonts w:ascii="华文细黑" w:hAnsi="宋体" w:eastAsia="华文细黑" w:cstheme="minorBidi"/>
      <w:kern w:val="2"/>
      <w:sz w:val="24"/>
      <w:szCs w:val="24"/>
      <w:u w:val="single"/>
    </w:rPr>
  </w:style>
  <w:style w:type="character" w:customStyle="1" w:styleId="127">
    <w:name w:val="注释标题 Char"/>
    <w:link w:val="18"/>
    <w:qFormat/>
    <w:uiPriority w:val="0"/>
    <w:rPr>
      <w:rFonts w:ascii="Calibri" w:hAnsi="Calibri" w:cstheme="minorBidi"/>
      <w:kern w:val="2"/>
      <w:sz w:val="21"/>
      <w:szCs w:val="22"/>
    </w:rPr>
  </w:style>
  <w:style w:type="character" w:customStyle="1" w:styleId="128">
    <w:name w:val="正文文本 2 Char"/>
    <w:link w:val="77"/>
    <w:qFormat/>
    <w:uiPriority w:val="0"/>
    <w:rPr>
      <w:rFonts w:hAnsi="仿宋" w:eastAsia="仿宋" w:cstheme="minorBidi"/>
      <w:kern w:val="2"/>
      <w:sz w:val="21"/>
    </w:rPr>
  </w:style>
  <w:style w:type="character" w:customStyle="1" w:styleId="129">
    <w:name w:val="正文文本 3 Char"/>
    <w:link w:val="33"/>
    <w:qFormat/>
    <w:uiPriority w:val="0"/>
    <w:rPr>
      <w:rFonts w:ascii="Calibri" w:hAnsi="Calibri" w:eastAsia="仿宋" w:cstheme="minorBidi"/>
      <w:kern w:val="2"/>
      <w:sz w:val="16"/>
    </w:rPr>
  </w:style>
  <w:style w:type="character" w:customStyle="1" w:styleId="130">
    <w:name w:val="正文文本缩进 2 Char"/>
    <w:link w:val="52"/>
    <w:qFormat/>
    <w:uiPriority w:val="0"/>
    <w:rPr>
      <w:rFonts w:hAnsi="仿宋" w:eastAsia="仿宋" w:cstheme="minorBidi"/>
      <w:kern w:val="2"/>
      <w:sz w:val="21"/>
    </w:rPr>
  </w:style>
  <w:style w:type="character" w:customStyle="1" w:styleId="131">
    <w:name w:val="正文文本缩进 3 Char"/>
    <w:link w:val="71"/>
    <w:qFormat/>
    <w:uiPriority w:val="0"/>
    <w:rPr>
      <w:rFonts w:ascii="Arial" w:hAnsi="Arial" w:cstheme="minorBidi"/>
      <w:kern w:val="2"/>
      <w:sz w:val="21"/>
      <w:szCs w:val="16"/>
    </w:rPr>
  </w:style>
  <w:style w:type="character" w:customStyle="1" w:styleId="132">
    <w:name w:val="文档结构图 Char"/>
    <w:link w:val="28"/>
    <w:qFormat/>
    <w:uiPriority w:val="99"/>
    <w:rPr>
      <w:rFonts w:ascii="宋体" w:cstheme="minorBidi"/>
      <w:kern w:val="2"/>
      <w:sz w:val="18"/>
      <w:szCs w:val="18"/>
    </w:rPr>
  </w:style>
  <w:style w:type="character" w:customStyle="1" w:styleId="133">
    <w:name w:val="纯文本 Char"/>
    <w:link w:val="46"/>
    <w:qFormat/>
    <w:uiPriority w:val="99"/>
    <w:rPr>
      <w:rFonts w:ascii="宋体" w:hAnsi="Roman 10cpi" w:cstheme="minorBidi"/>
      <w:kern w:val="2"/>
      <w:sz w:val="21"/>
      <w:szCs w:val="22"/>
    </w:rPr>
  </w:style>
  <w:style w:type="character" w:customStyle="1" w:styleId="134">
    <w:name w:val="电子邮件签名 Char"/>
    <w:link w:val="21"/>
    <w:qFormat/>
    <w:uiPriority w:val="0"/>
    <w:rPr>
      <w:rFonts w:ascii="Calibri" w:hAnsi="Calibri" w:cstheme="minorBidi"/>
      <w:kern w:val="2"/>
      <w:sz w:val="21"/>
      <w:szCs w:val="22"/>
    </w:rPr>
  </w:style>
  <w:style w:type="character" w:customStyle="1" w:styleId="135">
    <w:name w:val="普通(网站) Char"/>
    <w:link w:val="82"/>
    <w:qFormat/>
    <w:uiPriority w:val="0"/>
    <w:rPr>
      <w:rFonts w:ascii="宋体" w:hAnsi="宋体" w:cstheme="minorBidi"/>
      <w:sz w:val="24"/>
      <w:szCs w:val="24"/>
    </w:rPr>
  </w:style>
  <w:style w:type="character" w:customStyle="1" w:styleId="136">
    <w:name w:val="HTML 地址 Char"/>
    <w:link w:val="42"/>
    <w:qFormat/>
    <w:uiPriority w:val="0"/>
    <w:rPr>
      <w:rFonts w:ascii="Calibri" w:hAnsi="Calibri" w:cstheme="minorBidi"/>
      <w:i/>
      <w:iCs/>
      <w:kern w:val="2"/>
      <w:sz w:val="21"/>
      <w:szCs w:val="22"/>
    </w:rPr>
  </w:style>
  <w:style w:type="character" w:customStyle="1" w:styleId="137">
    <w:name w:val="HTML 预设格式 Char"/>
    <w:link w:val="81"/>
    <w:qFormat/>
    <w:uiPriority w:val="99"/>
    <w:rPr>
      <w:rFonts w:ascii="仿宋" w:hAnsi="宋体" w:eastAsia="仿宋" w:cstheme="minorBidi"/>
      <w:sz w:val="21"/>
      <w:szCs w:val="24"/>
    </w:rPr>
  </w:style>
  <w:style w:type="character" w:customStyle="1" w:styleId="138">
    <w:name w:val="批注主题 Char"/>
    <w:link w:val="86"/>
    <w:qFormat/>
    <w:uiPriority w:val="99"/>
    <w:rPr>
      <w:rFonts w:cstheme="minorBidi"/>
      <w:b/>
      <w:bCs/>
      <w:kern w:val="2"/>
      <w:sz w:val="21"/>
      <w:szCs w:val="24"/>
    </w:rPr>
  </w:style>
  <w:style w:type="character" w:customStyle="1" w:styleId="139">
    <w:name w:val="批注主题 Char1"/>
    <w:qFormat/>
    <w:uiPriority w:val="0"/>
    <w:rPr>
      <w:rFonts w:ascii="仿宋" w:hAnsi="仿宋" w:eastAsia="仿宋"/>
      <w:b/>
      <w:bCs/>
      <w:kern w:val="2"/>
      <w:sz w:val="21"/>
      <w:szCs w:val="24"/>
    </w:rPr>
  </w:style>
  <w:style w:type="character" w:customStyle="1" w:styleId="140">
    <w:name w:val="批注框文本 Char"/>
    <w:link w:val="55"/>
    <w:qFormat/>
    <w:uiPriority w:val="0"/>
    <w:rPr>
      <w:rFonts w:ascii="Calibri" w:hAnsi="Calibri" w:cstheme="minorBidi"/>
      <w:sz w:val="18"/>
    </w:rPr>
  </w:style>
  <w:style w:type="paragraph" w:styleId="141">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styleId="142">
    <w:name w:val="List Paragraph"/>
    <w:basedOn w:val="1"/>
    <w:qFormat/>
    <w:uiPriority w:val="0"/>
    <w:pPr>
      <w:ind w:firstLine="420" w:firstLineChars="200"/>
    </w:pPr>
    <w:rPr>
      <w:rFonts w:ascii="Calibri" w:hAnsi="Calibri"/>
      <w:szCs w:val="22"/>
    </w:rPr>
  </w:style>
  <w:style w:type="paragraph" w:styleId="143">
    <w:name w:val="Quote"/>
    <w:basedOn w:val="1"/>
    <w:next w:val="1"/>
    <w:link w:val="144"/>
    <w:qFormat/>
    <w:uiPriority w:val="29"/>
    <w:rPr>
      <w:i/>
      <w:iCs/>
      <w:color w:val="000000" w:themeColor="text1"/>
    </w:rPr>
  </w:style>
  <w:style w:type="character" w:customStyle="1" w:styleId="144">
    <w:name w:val="引用 Char"/>
    <w:link w:val="143"/>
    <w:qFormat/>
    <w:uiPriority w:val="29"/>
    <w:rPr>
      <w:rFonts w:cstheme="minorBidi"/>
      <w:i/>
      <w:iCs/>
      <w:color w:val="000000" w:themeColor="text1"/>
      <w:kern w:val="2"/>
      <w:sz w:val="21"/>
      <w:szCs w:val="24"/>
    </w:rPr>
  </w:style>
  <w:style w:type="paragraph" w:styleId="145">
    <w:name w:val="Intense Quote"/>
    <w:basedOn w:val="1"/>
    <w:next w:val="1"/>
    <w:link w:val="146"/>
    <w:qFormat/>
    <w:uiPriority w:val="30"/>
    <w:pPr>
      <w:pBdr>
        <w:bottom w:val="single" w:color="4F81BD" w:themeColor="accent1" w:sz="4" w:space="4"/>
      </w:pBdr>
      <w:spacing w:before="200" w:after="280"/>
      <w:ind w:left="936" w:right="936"/>
    </w:pPr>
    <w:rPr>
      <w:b/>
      <w:bCs/>
      <w:i/>
      <w:iCs/>
      <w:color w:val="4F81BD" w:themeColor="accent1"/>
    </w:rPr>
  </w:style>
  <w:style w:type="character" w:customStyle="1" w:styleId="146">
    <w:name w:val="明显引用 Char"/>
    <w:link w:val="145"/>
    <w:qFormat/>
    <w:uiPriority w:val="30"/>
    <w:rPr>
      <w:rFonts w:cstheme="minorBidi"/>
      <w:b/>
      <w:bCs/>
      <w:i/>
      <w:iCs/>
      <w:color w:val="4F81BD" w:themeColor="accent1"/>
      <w:kern w:val="2"/>
      <w:sz w:val="21"/>
      <w:szCs w:val="24"/>
    </w:rPr>
  </w:style>
  <w:style w:type="character" w:customStyle="1" w:styleId="147">
    <w:name w:val="不明显强调1"/>
    <w:qFormat/>
    <w:uiPriority w:val="19"/>
    <w:rPr>
      <w:i/>
      <w:iCs/>
      <w:color w:val="7F7F7F" w:themeColor="text1" w:themeTint="7F"/>
    </w:rPr>
  </w:style>
  <w:style w:type="character" w:customStyle="1" w:styleId="148">
    <w:name w:val="明显强调1"/>
    <w:qFormat/>
    <w:uiPriority w:val="21"/>
    <w:rPr>
      <w:b/>
      <w:bCs/>
      <w:i/>
      <w:iCs/>
      <w:color w:val="4F81BD" w:themeColor="accent1"/>
    </w:rPr>
  </w:style>
  <w:style w:type="character" w:customStyle="1" w:styleId="149">
    <w:name w:val="不明显参考1"/>
    <w:qFormat/>
    <w:uiPriority w:val="31"/>
    <w:rPr>
      <w:smallCaps/>
      <w:color w:val="C0504D" w:themeColor="accent2"/>
      <w:u w:val="single"/>
    </w:rPr>
  </w:style>
  <w:style w:type="character" w:customStyle="1" w:styleId="150">
    <w:name w:val="明显参考1"/>
    <w:qFormat/>
    <w:uiPriority w:val="32"/>
    <w:rPr>
      <w:b/>
      <w:bCs/>
      <w:smallCaps/>
      <w:color w:val="C0504D" w:themeColor="accent2"/>
      <w:spacing w:val="5"/>
      <w:u w:val="single"/>
    </w:rPr>
  </w:style>
  <w:style w:type="character" w:customStyle="1" w:styleId="151">
    <w:name w:val="书籍标题1"/>
    <w:qFormat/>
    <w:uiPriority w:val="33"/>
    <w:rPr>
      <w:b/>
      <w:bCs/>
      <w:smallCaps/>
      <w:spacing w:val="5"/>
    </w:rPr>
  </w:style>
  <w:style w:type="paragraph" w:customStyle="1" w:styleId="152">
    <w:name w:val="TOC 标题1"/>
    <w:basedOn w:val="5"/>
    <w:next w:val="1"/>
    <w:semiHidden/>
    <w:unhideWhenUsed/>
    <w:qFormat/>
    <w:uiPriority w:val="39"/>
    <w:pPr>
      <w:keepLines/>
      <w:numPr>
        <w:numId w:val="0"/>
      </w:numPr>
      <w:tabs>
        <w:tab w:val="clear" w:pos="2195"/>
        <w:tab w:val="clear" w:pos="5964"/>
        <w:tab w:val="clear" w:pos="7489"/>
        <w:tab w:val="clear" w:pos="9559"/>
      </w:tabs>
      <w:spacing w:before="340" w:after="330" w:line="578" w:lineRule="auto"/>
      <w:jc w:val="both"/>
      <w:outlineLvl w:val="9"/>
    </w:pPr>
    <w:rPr>
      <w:rFonts w:ascii="Times New Roman" w:eastAsia="宋体"/>
      <w:bCs/>
      <w:kern w:val="44"/>
      <w:sz w:val="44"/>
      <w:szCs w:val="44"/>
    </w:rPr>
  </w:style>
  <w:style w:type="character" w:customStyle="1" w:styleId="153">
    <w:name w:val="Char Char7"/>
    <w:qFormat/>
    <w:locked/>
    <w:uiPriority w:val="0"/>
    <w:rPr>
      <w:rFonts w:ascii="宋体" w:hAnsi="宋体" w:eastAsia="宋体" w:cs="宋体"/>
      <w:color w:val="000000"/>
      <w:sz w:val="21"/>
      <w:szCs w:val="21"/>
      <w:lang w:val="en-US" w:eastAsia="zh-CN" w:bidi="ar-SA"/>
    </w:rPr>
  </w:style>
  <w:style w:type="character" w:customStyle="1" w:styleId="154">
    <w:name w:val="文档结构图 字符"/>
    <w:qFormat/>
    <w:uiPriority w:val="99"/>
    <w:rPr>
      <w:rFonts w:ascii="Microsoft YaHei UI" w:hAnsi="Times New Roman" w:eastAsia="Microsoft YaHei UI" w:cs="Times New Roman"/>
      <w:sz w:val="18"/>
      <w:szCs w:val="18"/>
    </w:rPr>
  </w:style>
  <w:style w:type="character" w:customStyle="1" w:styleId="155">
    <w:name w:val="副标题 字符2"/>
    <w:qFormat/>
    <w:uiPriority w:val="0"/>
    <w:rPr>
      <w:rFonts w:ascii="仿宋" w:hAnsi="仿宋" w:eastAsia="仿宋" w:cs="Times New Roman"/>
      <w:b/>
      <w:bCs/>
      <w:kern w:val="28"/>
      <w:sz w:val="24"/>
      <w:szCs w:val="32"/>
    </w:rPr>
  </w:style>
  <w:style w:type="character" w:customStyle="1" w:styleId="156">
    <w:name w:val="正文文本 字符"/>
    <w:qFormat/>
    <w:uiPriority w:val="99"/>
    <w:rPr>
      <w:rFonts w:ascii="Times New Roman" w:hAnsi="Times New Roman" w:eastAsia="宋体" w:cs="Times New Roman"/>
      <w:sz w:val="24"/>
      <w:szCs w:val="24"/>
    </w:rPr>
  </w:style>
  <w:style w:type="character" w:customStyle="1" w:styleId="157">
    <w:name w:val="ca-2"/>
    <w:qFormat/>
    <w:uiPriority w:val="0"/>
  </w:style>
  <w:style w:type="character" w:customStyle="1" w:styleId="158">
    <w:name w:val="ca-4"/>
    <w:qFormat/>
    <w:uiPriority w:val="0"/>
  </w:style>
  <w:style w:type="character" w:customStyle="1" w:styleId="159">
    <w:name w:val="批注文字 Char1"/>
    <w:semiHidden/>
    <w:qFormat/>
    <w:uiPriority w:val="99"/>
    <w:rPr>
      <w:rFonts w:ascii="仿宋" w:hAnsi="仿宋" w:eastAsia="仿宋"/>
      <w:kern w:val="2"/>
      <w:sz w:val="24"/>
      <w:szCs w:val="24"/>
    </w:rPr>
  </w:style>
  <w:style w:type="character" w:customStyle="1" w:styleId="160">
    <w:name w:val="正文首行缩进 2 字符"/>
    <w:qFormat/>
    <w:uiPriority w:val="99"/>
  </w:style>
  <w:style w:type="character" w:customStyle="1" w:styleId="161">
    <w:name w:val="font01"/>
    <w:qFormat/>
    <w:uiPriority w:val="0"/>
    <w:rPr>
      <w:rFonts w:hint="eastAsia" w:ascii="宋体" w:hAnsi="宋体" w:eastAsia="宋体" w:cs="宋体"/>
      <w:color w:val="000000"/>
      <w:sz w:val="24"/>
      <w:szCs w:val="24"/>
      <w:u w:val="none"/>
    </w:rPr>
  </w:style>
  <w:style w:type="character" w:customStyle="1" w:styleId="162">
    <w:name w:val="apple-converted-space"/>
    <w:qFormat/>
    <w:uiPriority w:val="0"/>
  </w:style>
  <w:style w:type="character" w:customStyle="1" w:styleId="163">
    <w:name w:val="正文文本 3 字符"/>
    <w:qFormat/>
    <w:uiPriority w:val="99"/>
    <w:rPr>
      <w:rFonts w:ascii="Times New Roman" w:hAnsi="Times New Roman" w:eastAsia="宋体" w:cs="Times New Roman"/>
      <w:sz w:val="16"/>
      <w:szCs w:val="16"/>
    </w:rPr>
  </w:style>
  <w:style w:type="character" w:customStyle="1" w:styleId="164">
    <w:name w:val="页脚 Char1"/>
    <w:qFormat/>
    <w:uiPriority w:val="0"/>
    <w:rPr>
      <w:rFonts w:ascii="Calibri" w:hAnsi="Calibri" w:eastAsia="宋体" w:cs="Times New Roman"/>
      <w:sz w:val="18"/>
      <w:szCs w:val="18"/>
    </w:rPr>
  </w:style>
  <w:style w:type="character" w:customStyle="1" w:styleId="165">
    <w:name w:val="页眉 Char1"/>
    <w:qFormat/>
    <w:uiPriority w:val="99"/>
    <w:rPr>
      <w:rFonts w:ascii="Calibri" w:hAnsi="Calibri" w:eastAsia="宋体" w:cs="Times New Roman"/>
      <w:sz w:val="18"/>
      <w:szCs w:val="18"/>
    </w:rPr>
  </w:style>
  <w:style w:type="character" w:customStyle="1" w:styleId="166">
    <w:name w:val="纯文本 字符1"/>
    <w:qFormat/>
    <w:uiPriority w:val="99"/>
    <w:rPr>
      <w:rFonts w:ascii="宋体" w:hAnsi="Courier New" w:cs="Courier New"/>
      <w:sz w:val="24"/>
      <w:szCs w:val="24"/>
    </w:rPr>
  </w:style>
  <w:style w:type="character" w:customStyle="1" w:styleId="167">
    <w:name w:val="bold1"/>
    <w:qFormat/>
    <w:uiPriority w:val="0"/>
    <w:rPr>
      <w:b/>
      <w:bCs/>
    </w:rPr>
  </w:style>
  <w:style w:type="character" w:customStyle="1" w:styleId="168">
    <w:name w:val="art_source2"/>
    <w:qFormat/>
    <w:uiPriority w:val="0"/>
  </w:style>
  <w:style w:type="character" w:customStyle="1" w:styleId="169">
    <w:name w:val="脚注文本 字符"/>
    <w:qFormat/>
    <w:uiPriority w:val="99"/>
    <w:rPr>
      <w:rFonts w:ascii="Times New Roman" w:hAnsi="Times New Roman" w:eastAsia="宋体" w:cs="Times New Roman"/>
      <w:sz w:val="18"/>
      <w:szCs w:val="18"/>
    </w:rPr>
  </w:style>
  <w:style w:type="character" w:customStyle="1" w:styleId="170">
    <w:name w:val="标题 字符"/>
    <w:qFormat/>
    <w:uiPriority w:val="0"/>
    <w:rPr>
      <w:rFonts w:ascii="Cambria" w:hAnsi="Cambria" w:eastAsia="宋体" w:cs="Times New Roman"/>
      <w:b/>
      <w:bCs/>
      <w:sz w:val="32"/>
      <w:szCs w:val="32"/>
    </w:rPr>
  </w:style>
  <w:style w:type="character" w:customStyle="1" w:styleId="171">
    <w:name w:val="headline-content2"/>
    <w:qFormat/>
    <w:uiPriority w:val="99"/>
    <w:rPr>
      <w:rFonts w:cs="Times New Roman"/>
    </w:rPr>
  </w:style>
  <w:style w:type="character" w:customStyle="1" w:styleId="172">
    <w:name w:val="标题 3 Char2"/>
    <w:qFormat/>
    <w:locked/>
    <w:uiPriority w:val="0"/>
    <w:rPr>
      <w:rFonts w:ascii="Times New Roman" w:hAnsi="Times New Roman" w:eastAsia="宋体" w:cs="Times New Roman"/>
      <w:b/>
      <w:bCs/>
      <w:szCs w:val="24"/>
    </w:rPr>
  </w:style>
  <w:style w:type="character" w:customStyle="1" w:styleId="173">
    <w:name w:val="black1"/>
    <w:qFormat/>
    <w:uiPriority w:val="0"/>
    <w:rPr>
      <w:rFonts w:ascii="??" w:hAnsi="??" w:cs="Times New Roman"/>
      <w:color w:val="333333"/>
      <w:sz w:val="18"/>
      <w:szCs w:val="18"/>
      <w:u w:val="none"/>
    </w:rPr>
  </w:style>
  <w:style w:type="character" w:customStyle="1" w:styleId="174">
    <w:name w:val="标题 1 Char1"/>
    <w:qFormat/>
    <w:uiPriority w:val="0"/>
    <w:rPr>
      <w:rFonts w:ascii="宋体" w:hAnsi="宋体" w:eastAsia="宋体" w:cs="Times New Roman"/>
      <w:b/>
      <w:color w:val="000000"/>
      <w:kern w:val="0"/>
      <w:sz w:val="44"/>
      <w:szCs w:val="44"/>
    </w:rPr>
  </w:style>
  <w:style w:type="character" w:customStyle="1" w:styleId="175">
    <w:name w:val="标题 3 Char Char"/>
    <w:qFormat/>
    <w:uiPriority w:val="0"/>
    <w:rPr>
      <w:rFonts w:ascii="宋体" w:hAnsi="宋体" w:eastAsia="宋体" w:cs="Arial"/>
      <w:b/>
      <w:bCs/>
      <w:color w:val="000000"/>
      <w:sz w:val="21"/>
      <w:szCs w:val="21"/>
      <w:lang w:val="en-US" w:eastAsia="zh-CN" w:bidi="ar-SA"/>
    </w:rPr>
  </w:style>
  <w:style w:type="character" w:customStyle="1" w:styleId="176">
    <w:name w:val="标题 7 字符"/>
    <w:qFormat/>
    <w:uiPriority w:val="9"/>
    <w:rPr>
      <w:rFonts w:ascii="Times New Roman" w:hAnsi="Times New Roman" w:eastAsia="宋体" w:cs="Times New Roman"/>
      <w:b/>
      <w:bCs/>
      <w:sz w:val="24"/>
      <w:szCs w:val="24"/>
    </w:rPr>
  </w:style>
  <w:style w:type="character" w:customStyle="1" w:styleId="177">
    <w:name w:val="正文文本缩进 Char1"/>
    <w:qFormat/>
    <w:uiPriority w:val="99"/>
    <w:rPr>
      <w:rFonts w:cs="Times New Roman"/>
      <w:kern w:val="2"/>
      <w:sz w:val="24"/>
      <w:szCs w:val="24"/>
    </w:rPr>
  </w:style>
  <w:style w:type="character" w:customStyle="1" w:styleId="178">
    <w:name w:val="Char Char5"/>
    <w:qFormat/>
    <w:uiPriority w:val="0"/>
    <w:rPr>
      <w:rFonts w:ascii="宋体" w:hAnsi="宋体" w:eastAsia="宋体" w:cs="宋体"/>
      <w:b/>
      <w:color w:val="000000"/>
      <w:sz w:val="21"/>
      <w:szCs w:val="21"/>
      <w:lang w:val="en-US" w:eastAsia="zh-CN" w:bidi="ar-SA"/>
    </w:rPr>
  </w:style>
  <w:style w:type="character" w:customStyle="1" w:styleId="179">
    <w:name w:val="标题 3 Char3"/>
    <w:qFormat/>
    <w:uiPriority w:val="99"/>
    <w:rPr>
      <w:rFonts w:ascii="仿宋" w:hAnsi="仿宋" w:eastAsia="仿宋" w:cs="Times New Roman"/>
      <w:b/>
      <w:bCs/>
      <w:sz w:val="24"/>
      <w:szCs w:val="32"/>
    </w:rPr>
  </w:style>
  <w:style w:type="character" w:customStyle="1" w:styleId="180">
    <w:name w:val="apple-style-span"/>
    <w:qFormat/>
    <w:uiPriority w:val="0"/>
    <w:rPr>
      <w:rFonts w:cs="Times New Roman"/>
    </w:rPr>
  </w:style>
  <w:style w:type="character" w:customStyle="1" w:styleId="181">
    <w:name w:val="Char Char3"/>
    <w:qFormat/>
    <w:uiPriority w:val="0"/>
    <w:rPr>
      <w:kern w:val="2"/>
      <w:sz w:val="18"/>
      <w:szCs w:val="18"/>
    </w:rPr>
  </w:style>
  <w:style w:type="character" w:customStyle="1" w:styleId="182">
    <w:name w:val="shtxt1"/>
    <w:qFormat/>
    <w:uiPriority w:val="0"/>
    <w:rPr>
      <w:rFonts w:hint="default" w:ascii="ˎ̥" w:hAnsi="ˎ̥"/>
      <w:color w:val="666666"/>
      <w:sz w:val="21"/>
      <w:szCs w:val="21"/>
      <w:u w:val="none"/>
    </w:rPr>
  </w:style>
  <w:style w:type="character" w:customStyle="1" w:styleId="183">
    <w:name w:val="标题 9 字符"/>
    <w:qFormat/>
    <w:uiPriority w:val="0"/>
    <w:rPr>
      <w:rFonts w:ascii="Cambria" w:hAnsi="Cambria" w:eastAsia="宋体" w:cs="Times New Roman"/>
      <w:szCs w:val="21"/>
    </w:rPr>
  </w:style>
  <w:style w:type="character" w:customStyle="1" w:styleId="184">
    <w:name w:val="boldtitlebigred1"/>
    <w:qFormat/>
    <w:uiPriority w:val="0"/>
    <w:rPr>
      <w:rFonts w:hint="default" w:ascii="Arial" w:hAnsi="Arial" w:cs="Arial"/>
      <w:b/>
      <w:bCs/>
      <w:color w:val="990000"/>
      <w:spacing w:val="375"/>
      <w:sz w:val="24"/>
      <w:szCs w:val="24"/>
      <w:u w:val="none"/>
    </w:rPr>
  </w:style>
  <w:style w:type="character" w:customStyle="1" w:styleId="185">
    <w:name w:val="批注框文本 Char3"/>
    <w:qFormat/>
    <w:uiPriority w:val="99"/>
    <w:rPr>
      <w:rFonts w:ascii="仿宋" w:hAnsi="仿宋" w:eastAsia="仿宋" w:cs="Times New Roman"/>
      <w:sz w:val="18"/>
      <w:szCs w:val="18"/>
    </w:rPr>
  </w:style>
  <w:style w:type="character" w:customStyle="1" w:styleId="186">
    <w:name w:val="图片文字 Char"/>
    <w:qFormat/>
    <w:uiPriority w:val="0"/>
    <w:rPr>
      <w:rFonts w:eastAsia="宋体"/>
      <w:kern w:val="2"/>
      <w:sz w:val="18"/>
      <w:szCs w:val="18"/>
      <w:lang w:val="en-US" w:eastAsia="zh-CN" w:bidi="ar-SA"/>
    </w:rPr>
  </w:style>
  <w:style w:type="character" w:customStyle="1" w:styleId="187">
    <w:name w:val="样式 标题 3 Char + 宋体 五号 黑色"/>
    <w:qFormat/>
    <w:uiPriority w:val="0"/>
    <w:rPr>
      <w:rFonts w:ascii="宋体" w:hAnsi="宋体"/>
      <w:color w:val="000000"/>
      <w:sz w:val="21"/>
    </w:rPr>
  </w:style>
  <w:style w:type="character" w:customStyle="1" w:styleId="188">
    <w:name w:val="页脚 字符1"/>
    <w:qFormat/>
    <w:uiPriority w:val="99"/>
    <w:rPr>
      <w:rFonts w:ascii="仿宋" w:hAnsi="仿宋" w:eastAsia="仿宋" w:cs="Times New Roman"/>
      <w:sz w:val="18"/>
      <w:szCs w:val="18"/>
    </w:rPr>
  </w:style>
  <w:style w:type="character" w:customStyle="1" w:styleId="189">
    <w:name w:val="正文文本缩进 3 字符"/>
    <w:qFormat/>
    <w:uiPriority w:val="99"/>
    <w:rPr>
      <w:rFonts w:ascii="Times New Roman" w:hAnsi="Times New Roman" w:eastAsia="宋体" w:cs="Times New Roman"/>
      <w:sz w:val="16"/>
      <w:szCs w:val="16"/>
    </w:rPr>
  </w:style>
  <w:style w:type="character" w:customStyle="1" w:styleId="190">
    <w:name w:val="不明显强调111"/>
    <w:qFormat/>
    <w:uiPriority w:val="19"/>
    <w:rPr>
      <w:i/>
      <w:iCs/>
      <w:color w:val="808080"/>
    </w:rPr>
  </w:style>
  <w:style w:type="character" w:customStyle="1" w:styleId="191">
    <w:name w:val="纯文本 字符"/>
    <w:qFormat/>
    <w:uiPriority w:val="99"/>
    <w:rPr>
      <w:rFonts w:ascii="宋体" w:hAnsi="Courier New" w:cs="Courier New"/>
      <w:sz w:val="24"/>
      <w:szCs w:val="24"/>
    </w:rPr>
  </w:style>
  <w:style w:type="character" w:customStyle="1" w:styleId="192">
    <w:name w:val="已访问的超链接1"/>
    <w:qFormat/>
    <w:uiPriority w:val="0"/>
    <w:rPr>
      <w:color w:val="800080"/>
      <w:u w:val="single"/>
    </w:rPr>
  </w:style>
  <w:style w:type="character" w:customStyle="1" w:styleId="193">
    <w:name w:val="Char Char4"/>
    <w:qFormat/>
    <w:uiPriority w:val="0"/>
    <w:rPr>
      <w:rFonts w:eastAsia="宋体"/>
      <w:kern w:val="2"/>
      <w:sz w:val="18"/>
      <w:lang w:val="en-US" w:eastAsia="zh-CN"/>
    </w:rPr>
  </w:style>
  <w:style w:type="character" w:customStyle="1" w:styleId="194">
    <w:name w:val="标题 4 Char1"/>
    <w:qFormat/>
    <w:uiPriority w:val="0"/>
    <w:rPr>
      <w:rFonts w:ascii="宋体" w:hAnsi="宋体" w:eastAsia="宋体"/>
      <w:b/>
      <w:kern w:val="2"/>
      <w:sz w:val="21"/>
      <w:szCs w:val="21"/>
      <w:lang w:val="en-US" w:eastAsia="zh-CN" w:bidi="ar-SA"/>
    </w:rPr>
  </w:style>
  <w:style w:type="character" w:customStyle="1" w:styleId="195">
    <w:name w:val="正文文本 Char1"/>
    <w:qFormat/>
    <w:uiPriority w:val="99"/>
    <w:rPr>
      <w:rFonts w:ascii="仿宋" w:hAnsi="仿宋" w:eastAsia="仿宋" w:cs="Times New Roman"/>
      <w:sz w:val="24"/>
      <w:szCs w:val="24"/>
    </w:rPr>
  </w:style>
  <w:style w:type="character" w:customStyle="1" w:styleId="196">
    <w:name w:val="ca-1"/>
    <w:qFormat/>
    <w:uiPriority w:val="0"/>
  </w:style>
  <w:style w:type="character" w:customStyle="1" w:styleId="197">
    <w:name w:val="ca-0"/>
    <w:qFormat/>
    <w:uiPriority w:val="0"/>
  </w:style>
  <w:style w:type="character" w:customStyle="1" w:styleId="198">
    <w:name w:val="正文首行缩进 字符"/>
    <w:qFormat/>
    <w:uiPriority w:val="99"/>
  </w:style>
  <w:style w:type="character" w:customStyle="1" w:styleId="199">
    <w:name w:val="about1"/>
    <w:qFormat/>
    <w:uiPriority w:val="0"/>
    <w:rPr>
      <w:sz w:val="18"/>
    </w:rPr>
  </w:style>
  <w:style w:type="character" w:customStyle="1" w:styleId="200">
    <w:name w:val="页眉 Char3"/>
    <w:qFormat/>
    <w:uiPriority w:val="0"/>
    <w:rPr>
      <w:rFonts w:ascii="Times New Roman" w:hAnsi="Times New Roman" w:eastAsia="宋体" w:cs="Times New Roman"/>
      <w:sz w:val="18"/>
      <w:szCs w:val="18"/>
    </w:rPr>
  </w:style>
  <w:style w:type="character" w:customStyle="1" w:styleId="201">
    <w:name w:val="ca-3"/>
    <w:qFormat/>
    <w:uiPriority w:val="0"/>
  </w:style>
  <w:style w:type="character" w:customStyle="1" w:styleId="202">
    <w:name w:val="日期 字符"/>
    <w:qFormat/>
    <w:uiPriority w:val="99"/>
    <w:rPr>
      <w:rFonts w:ascii="Times New Roman" w:hAnsi="Times New Roman" w:eastAsia="宋体" w:cs="Times New Roman"/>
      <w:sz w:val="24"/>
      <w:szCs w:val="24"/>
    </w:rPr>
  </w:style>
  <w:style w:type="character" w:customStyle="1" w:styleId="203">
    <w:name w:val="detailtitle1"/>
    <w:qFormat/>
    <w:uiPriority w:val="0"/>
  </w:style>
  <w:style w:type="character" w:customStyle="1" w:styleId="204">
    <w:name w:val="称呼 字符"/>
    <w:qFormat/>
    <w:uiPriority w:val="99"/>
    <w:rPr>
      <w:rFonts w:ascii="Times New Roman" w:hAnsi="Times New Roman" w:eastAsia="宋体" w:cs="Times New Roman"/>
      <w:sz w:val="24"/>
      <w:szCs w:val="24"/>
    </w:rPr>
  </w:style>
  <w:style w:type="character" w:customStyle="1" w:styleId="205">
    <w:name w:val="明显强调11"/>
    <w:qFormat/>
    <w:uiPriority w:val="21"/>
    <w:rPr>
      <w:b/>
      <w:bCs/>
      <w:i/>
      <w:iCs/>
      <w:color w:val="4F81BD"/>
    </w:rPr>
  </w:style>
  <w:style w:type="character" w:customStyle="1" w:styleId="206">
    <w:name w:val="line181"/>
    <w:qFormat/>
    <w:uiPriority w:val="0"/>
    <w:rPr>
      <w:rFonts w:hint="default"/>
      <w:color w:val="333333"/>
      <w:spacing w:val="360"/>
      <w:sz w:val="18"/>
      <w:szCs w:val="18"/>
      <w:u w:val="none"/>
    </w:rPr>
  </w:style>
  <w:style w:type="character" w:customStyle="1" w:styleId="207">
    <w:name w:val="尾注文本 字符"/>
    <w:qFormat/>
    <w:uiPriority w:val="99"/>
    <w:rPr>
      <w:rFonts w:ascii="Times New Roman" w:hAnsi="Times New Roman" w:eastAsia="宋体" w:cs="Times New Roman"/>
      <w:sz w:val="24"/>
      <w:szCs w:val="24"/>
    </w:rPr>
  </w:style>
  <w:style w:type="character" w:customStyle="1" w:styleId="208">
    <w:name w:val="样式 宋体 小四"/>
    <w:qFormat/>
    <w:uiPriority w:val="0"/>
    <w:rPr>
      <w:rFonts w:ascii="宋体" w:hAnsi="宋体"/>
      <w:sz w:val="24"/>
    </w:rPr>
  </w:style>
  <w:style w:type="character" w:customStyle="1" w:styleId="209">
    <w:name w:val="标题 3 Char1"/>
    <w:qFormat/>
    <w:locked/>
    <w:uiPriority w:val="0"/>
    <w:rPr>
      <w:rFonts w:ascii="宋体" w:hAnsi="宋体" w:eastAsia="宋体" w:cs="Times New Roman"/>
      <w:b/>
      <w:bCs/>
      <w:kern w:val="0"/>
      <w:sz w:val="24"/>
      <w:szCs w:val="24"/>
    </w:rPr>
  </w:style>
  <w:style w:type="character" w:customStyle="1" w:styleId="210">
    <w:name w:val="wz01"/>
    <w:qFormat/>
    <w:uiPriority w:val="0"/>
    <w:rPr>
      <w:rFonts w:cs="Times New Roman"/>
    </w:rPr>
  </w:style>
  <w:style w:type="character" w:customStyle="1" w:styleId="211">
    <w:name w:val="页脚 Char3"/>
    <w:qFormat/>
    <w:uiPriority w:val="0"/>
    <w:rPr>
      <w:rFonts w:ascii="Times New Roman" w:hAnsi="Times New Roman" w:eastAsia="宋体" w:cs="Times New Roman"/>
      <w:sz w:val="18"/>
      <w:szCs w:val="18"/>
    </w:rPr>
  </w:style>
  <w:style w:type="character" w:customStyle="1" w:styleId="212">
    <w:name w:val="Char Char2"/>
    <w:qFormat/>
    <w:uiPriority w:val="0"/>
    <w:rPr>
      <w:kern w:val="2"/>
      <w:sz w:val="18"/>
      <w:szCs w:val="18"/>
    </w:rPr>
  </w:style>
  <w:style w:type="character" w:customStyle="1" w:styleId="213">
    <w:name w:val="列表接续 Char"/>
    <w:qFormat/>
    <w:uiPriority w:val="0"/>
    <w:rPr>
      <w:rFonts w:ascii="Times New Roman" w:hAnsi="Times New Roman" w:eastAsia="宋体" w:cs="Times New Roman"/>
      <w:b/>
      <w:kern w:val="2"/>
      <w:sz w:val="21"/>
      <w:szCs w:val="21"/>
      <w:lang w:val="en-US" w:eastAsia="zh-CN" w:bidi="ar-SA"/>
    </w:rPr>
  </w:style>
  <w:style w:type="character" w:customStyle="1" w:styleId="214">
    <w:name w:val="song121"/>
    <w:qFormat/>
    <w:uiPriority w:val="0"/>
    <w:rPr>
      <w:rFonts w:hint="eastAsia" w:ascii="宋体" w:hAnsi="宋体" w:eastAsia="宋体"/>
      <w:color w:val="000000"/>
      <w:sz w:val="18"/>
    </w:rPr>
  </w:style>
  <w:style w:type="character" w:customStyle="1" w:styleId="215">
    <w:name w:val="正文文本缩进 2 字符"/>
    <w:qFormat/>
    <w:uiPriority w:val="99"/>
    <w:rPr>
      <w:rFonts w:ascii="Times New Roman" w:hAnsi="Times New Roman" w:eastAsia="宋体" w:cs="Times New Roman"/>
      <w:sz w:val="24"/>
      <w:szCs w:val="24"/>
    </w:rPr>
  </w:style>
  <w:style w:type="character" w:customStyle="1" w:styleId="216">
    <w:name w:val="正文文本 2 字符"/>
    <w:qFormat/>
    <w:uiPriority w:val="99"/>
    <w:rPr>
      <w:rFonts w:ascii="Times New Roman" w:hAnsi="Times New Roman" w:eastAsia="宋体" w:cs="Times New Roman"/>
      <w:sz w:val="24"/>
      <w:szCs w:val="24"/>
    </w:rPr>
  </w:style>
  <w:style w:type="character" w:customStyle="1" w:styleId="217">
    <w:name w:val="批注文字 Char2"/>
    <w:qFormat/>
    <w:uiPriority w:val="99"/>
    <w:rPr>
      <w:rFonts w:ascii="仿宋" w:hAnsi="仿宋" w:eastAsia="仿宋" w:cs="Times New Roman"/>
      <w:sz w:val="24"/>
      <w:szCs w:val="24"/>
    </w:rPr>
  </w:style>
  <w:style w:type="character" w:customStyle="1" w:styleId="218">
    <w:name w:val="HTML 预设格式 字符"/>
    <w:qFormat/>
    <w:uiPriority w:val="99"/>
    <w:rPr>
      <w:rFonts w:ascii="Courier New" w:hAnsi="Courier New" w:eastAsia="宋体" w:cs="Courier New"/>
      <w:sz w:val="20"/>
      <w:szCs w:val="20"/>
    </w:rPr>
  </w:style>
  <w:style w:type="character" w:customStyle="1" w:styleId="219">
    <w:name w:val="style11"/>
    <w:qFormat/>
    <w:uiPriority w:val="0"/>
    <w:rPr>
      <w:rFonts w:cs="Times New Roman"/>
      <w:sz w:val="21"/>
      <w:szCs w:val="21"/>
    </w:rPr>
  </w:style>
  <w:style w:type="character" w:customStyle="1" w:styleId="220">
    <w:name w:val="标题 2 Char1"/>
    <w:qFormat/>
    <w:uiPriority w:val="0"/>
    <w:rPr>
      <w:rFonts w:ascii="仿宋" w:hAnsi="仿宋" w:eastAsia="仿宋" w:cs="Times New Roman"/>
      <w:b/>
      <w:bCs/>
      <w:sz w:val="28"/>
      <w:szCs w:val="32"/>
    </w:rPr>
  </w:style>
  <w:style w:type="character" w:customStyle="1" w:styleId="221">
    <w:name w:val="tpc_title1"/>
    <w:qFormat/>
    <w:uiPriority w:val="0"/>
    <w:rPr>
      <w:b/>
      <w:bCs/>
      <w:sz w:val="17"/>
      <w:szCs w:val="17"/>
    </w:rPr>
  </w:style>
  <w:style w:type="character" w:customStyle="1" w:styleId="222">
    <w:name w:val="标题 5 Char1"/>
    <w:qFormat/>
    <w:uiPriority w:val="0"/>
    <w:rPr>
      <w:rFonts w:ascii="仿宋" w:hAnsi="仿宋" w:eastAsia="仿宋" w:cs="Times New Roman"/>
      <w:b/>
      <w:bCs/>
      <w:sz w:val="24"/>
      <w:szCs w:val="28"/>
    </w:rPr>
  </w:style>
  <w:style w:type="character" w:customStyle="1" w:styleId="223">
    <w:name w:val="z141"/>
    <w:qFormat/>
    <w:uiPriority w:val="0"/>
    <w:rPr>
      <w:sz w:val="25"/>
      <w:szCs w:val="25"/>
    </w:rPr>
  </w:style>
  <w:style w:type="character" w:customStyle="1" w:styleId="224">
    <w:name w:val="标题 8 字符"/>
    <w:qFormat/>
    <w:uiPriority w:val="9"/>
    <w:rPr>
      <w:rFonts w:ascii="Cambria" w:hAnsi="Cambria" w:eastAsia="宋体" w:cs="Times New Roman"/>
      <w:sz w:val="24"/>
      <w:szCs w:val="24"/>
    </w:rPr>
  </w:style>
  <w:style w:type="character" w:customStyle="1" w:styleId="225">
    <w:name w:val="Char Char1"/>
    <w:qFormat/>
    <w:uiPriority w:val="0"/>
    <w:rPr>
      <w:kern w:val="2"/>
      <w:sz w:val="21"/>
      <w:szCs w:val="24"/>
    </w:rPr>
  </w:style>
  <w:style w:type="character" w:customStyle="1" w:styleId="226">
    <w:name w:val="图表题 Char"/>
    <w:qFormat/>
    <w:uiPriority w:val="0"/>
    <w:rPr>
      <w:rFonts w:eastAsia="宋体"/>
      <w:b/>
      <w:color w:val="000000"/>
      <w:kern w:val="2"/>
      <w:sz w:val="21"/>
      <w:szCs w:val="24"/>
      <w:lang w:val="en-US" w:eastAsia="zh-CN" w:bidi="ar-SA"/>
    </w:rPr>
  </w:style>
  <w:style w:type="character" w:customStyle="1" w:styleId="227">
    <w:name w:val="页眉 字符1"/>
    <w:qFormat/>
    <w:uiPriority w:val="0"/>
    <w:rPr>
      <w:rFonts w:ascii="仿宋" w:hAnsi="仿宋" w:eastAsia="仿宋" w:cs="Times New Roman"/>
      <w:sz w:val="18"/>
      <w:szCs w:val="18"/>
    </w:rPr>
  </w:style>
  <w:style w:type="character" w:customStyle="1" w:styleId="228">
    <w:name w:val="标题 2a"/>
    <w:qFormat/>
    <w:uiPriority w:val="0"/>
    <w:rPr>
      <w:rFonts w:ascii="Times New Roman" w:hAnsi="Times New Roman" w:eastAsia="宋体"/>
      <w:b/>
      <w:bCs/>
      <w:kern w:val="2"/>
      <w:sz w:val="24"/>
      <w:szCs w:val="24"/>
      <w:lang w:val="en-US" w:eastAsia="zh-CN" w:bidi="ar-SA"/>
    </w:rPr>
  </w:style>
  <w:style w:type="character" w:customStyle="1" w:styleId="229">
    <w:name w:val="正文文本缩进 字符"/>
    <w:qFormat/>
    <w:uiPriority w:val="0"/>
    <w:rPr>
      <w:rFonts w:ascii="Times New Roman" w:hAnsi="Times New Roman" w:eastAsia="宋体" w:cs="Times New Roman"/>
      <w:sz w:val="24"/>
      <w:szCs w:val="24"/>
    </w:rPr>
  </w:style>
  <w:style w:type="character" w:customStyle="1" w:styleId="230">
    <w:name w:val="纯文本 Char1"/>
    <w:qFormat/>
    <w:uiPriority w:val="0"/>
    <w:rPr>
      <w:rFonts w:ascii="宋体" w:hAnsi="Courier New" w:cs="Courier New"/>
      <w:kern w:val="2"/>
      <w:sz w:val="21"/>
      <w:szCs w:val="21"/>
    </w:rPr>
  </w:style>
  <w:style w:type="character" w:customStyle="1" w:styleId="231">
    <w:name w:val="t_tag"/>
    <w:qFormat/>
    <w:uiPriority w:val="0"/>
  </w:style>
  <w:style w:type="character" w:customStyle="1" w:styleId="232">
    <w:name w:val="text1"/>
    <w:qFormat/>
    <w:uiPriority w:val="0"/>
    <w:rPr>
      <w:rFonts w:hint="default" w:ascii="Verdana" w:hAnsi="Verdana"/>
      <w:color w:val="222222"/>
      <w:sz w:val="18"/>
      <w:u w:val="none"/>
    </w:rPr>
  </w:style>
  <w:style w:type="character" w:customStyle="1" w:styleId="233">
    <w:name w:val="3zw1"/>
    <w:qFormat/>
    <w:uiPriority w:val="0"/>
    <w:rPr>
      <w:color w:val="000000"/>
      <w:sz w:val="21"/>
    </w:rPr>
  </w:style>
  <w:style w:type="character" w:customStyle="1" w:styleId="234">
    <w:name w:val="不明显强调2"/>
    <w:qFormat/>
    <w:uiPriority w:val="19"/>
    <w:rPr>
      <w:i/>
      <w:iCs/>
      <w:color w:val="808080"/>
    </w:rPr>
  </w:style>
  <w:style w:type="character" w:customStyle="1" w:styleId="235">
    <w:name w:val="正文文本缩进 Char2"/>
    <w:qFormat/>
    <w:uiPriority w:val="99"/>
    <w:rPr>
      <w:rFonts w:ascii="仿宋" w:hAnsi="仿宋" w:eastAsia="仿宋" w:cs="Times New Roman"/>
      <w:sz w:val="28"/>
      <w:szCs w:val="24"/>
    </w:rPr>
  </w:style>
  <w:style w:type="character" w:customStyle="1" w:styleId="236">
    <w:name w:val="题注 字符"/>
    <w:qFormat/>
    <w:uiPriority w:val="35"/>
    <w:rPr>
      <w:rFonts w:ascii="Cambria" w:hAnsi="Cambria" w:eastAsia="黑体" w:cs="Times New Roman"/>
      <w:sz w:val="20"/>
      <w:szCs w:val="20"/>
    </w:rPr>
  </w:style>
  <w:style w:type="character" w:customStyle="1" w:styleId="237">
    <w:name w:val="已访问的超链接2"/>
    <w:qFormat/>
    <w:uiPriority w:val="99"/>
    <w:rPr>
      <w:color w:val="800080"/>
      <w:u w:val="single"/>
    </w:rPr>
  </w:style>
  <w:style w:type="character" w:customStyle="1" w:styleId="238">
    <w:name w:val="普通(网站) 字符"/>
    <w:qFormat/>
    <w:uiPriority w:val="99"/>
    <w:rPr>
      <w:rFonts w:ascii="宋体" w:hAnsi="宋体" w:eastAsia="宋体" w:cs="Times New Roman"/>
      <w:kern w:val="0"/>
      <w:sz w:val="24"/>
      <w:szCs w:val="24"/>
    </w:rPr>
  </w:style>
  <w:style w:type="character" w:customStyle="1" w:styleId="239">
    <w:name w:val="批注文字 字符1"/>
    <w:qFormat/>
    <w:uiPriority w:val="99"/>
    <w:rPr>
      <w:rFonts w:ascii="仿宋" w:hAnsi="仿宋" w:eastAsia="仿宋" w:cs="Times New Roman"/>
      <w:sz w:val="24"/>
      <w:szCs w:val="24"/>
    </w:rPr>
  </w:style>
  <w:style w:type="character" w:customStyle="1" w:styleId="240">
    <w:name w:val="日期 字符1"/>
    <w:qFormat/>
    <w:uiPriority w:val="0"/>
    <w:rPr>
      <w:rFonts w:ascii="仿宋" w:hAnsi="仿宋" w:eastAsia="仿宋" w:cs="Times New Roman"/>
      <w:sz w:val="24"/>
      <w:szCs w:val="24"/>
    </w:rPr>
  </w:style>
  <w:style w:type="character" w:customStyle="1" w:styleId="241">
    <w:name w:val="文档结构图 字符1"/>
    <w:qFormat/>
    <w:uiPriority w:val="99"/>
    <w:rPr>
      <w:rFonts w:ascii="宋体" w:hAnsi="Times New Roman" w:eastAsia="宋体" w:cs="Times New Roman"/>
      <w:sz w:val="18"/>
      <w:szCs w:val="18"/>
    </w:rPr>
  </w:style>
  <w:style w:type="character" w:customStyle="1" w:styleId="242">
    <w:name w:val="正文文本缩进 3 字符1"/>
    <w:qFormat/>
    <w:uiPriority w:val="0"/>
    <w:rPr>
      <w:rFonts w:ascii="Arial" w:hAnsi="Arial" w:eastAsia="宋体" w:cs="Times New Roman"/>
      <w:sz w:val="24"/>
      <w:szCs w:val="16"/>
    </w:rPr>
  </w:style>
  <w:style w:type="character" w:customStyle="1" w:styleId="243">
    <w:name w:val="正文文本 字符1"/>
    <w:qFormat/>
    <w:uiPriority w:val="0"/>
    <w:rPr>
      <w:rFonts w:ascii="仿宋" w:hAnsi="仿宋" w:eastAsia="仿宋" w:cs="Times New Roman"/>
      <w:sz w:val="24"/>
      <w:szCs w:val="24"/>
    </w:rPr>
  </w:style>
  <w:style w:type="character" w:customStyle="1" w:styleId="244">
    <w:name w:val="标题 7 字符1"/>
    <w:qFormat/>
    <w:uiPriority w:val="0"/>
    <w:rPr>
      <w:rFonts w:ascii="Times New Roman" w:hAnsi="仿宋" w:eastAsia="仿宋" w:cs="Times New Roman"/>
      <w:b/>
      <w:bCs/>
      <w:sz w:val="24"/>
      <w:szCs w:val="24"/>
    </w:rPr>
  </w:style>
  <w:style w:type="character" w:customStyle="1" w:styleId="245">
    <w:name w:val="标题 8 字符1"/>
    <w:qFormat/>
    <w:uiPriority w:val="0"/>
    <w:rPr>
      <w:rFonts w:ascii="Arial" w:hAnsi="Arial" w:eastAsia="黑体" w:cs="Times New Roman"/>
      <w:sz w:val="24"/>
      <w:szCs w:val="24"/>
    </w:rPr>
  </w:style>
  <w:style w:type="character" w:customStyle="1" w:styleId="246">
    <w:name w:val="批注框文本 字符1"/>
    <w:qFormat/>
    <w:uiPriority w:val="99"/>
    <w:rPr>
      <w:rFonts w:ascii="仿宋" w:hAnsi="仿宋" w:eastAsia="仿宋" w:cs="Times New Roman"/>
      <w:sz w:val="18"/>
      <w:szCs w:val="18"/>
    </w:rPr>
  </w:style>
  <w:style w:type="character" w:customStyle="1" w:styleId="247">
    <w:name w:val="正文文本缩进 2 字符1"/>
    <w:qFormat/>
    <w:uiPriority w:val="0"/>
    <w:rPr>
      <w:rFonts w:ascii="Times New Roman" w:hAnsi="仿宋" w:eastAsia="仿宋" w:cs="Times New Roman"/>
      <w:szCs w:val="20"/>
    </w:rPr>
  </w:style>
  <w:style w:type="character" w:customStyle="1" w:styleId="248">
    <w:name w:val="正文首行缩进 2 字符1"/>
    <w:qFormat/>
    <w:uiPriority w:val="0"/>
    <w:rPr>
      <w:rFonts w:ascii="华文细黑" w:hAnsi="宋体" w:eastAsia="华文细黑" w:cs="Times New Roman"/>
      <w:sz w:val="24"/>
      <w:szCs w:val="24"/>
      <w:u w:val="single"/>
    </w:rPr>
  </w:style>
  <w:style w:type="character" w:customStyle="1" w:styleId="249">
    <w:name w:val="正文文本 3 字符1"/>
    <w:qFormat/>
    <w:uiPriority w:val="0"/>
    <w:rPr>
      <w:rFonts w:ascii="Calibri" w:hAnsi="Calibri" w:eastAsia="仿宋" w:cs="Times New Roman"/>
      <w:sz w:val="16"/>
      <w:szCs w:val="20"/>
    </w:rPr>
  </w:style>
  <w:style w:type="character" w:customStyle="1" w:styleId="250">
    <w:name w:val="批注主题 字符1"/>
    <w:qFormat/>
    <w:uiPriority w:val="0"/>
    <w:rPr>
      <w:rFonts w:ascii="宋体" w:hAnsi="仿宋" w:eastAsia="仿宋"/>
      <w:b/>
      <w:kern w:val="2"/>
      <w:sz w:val="24"/>
      <w:szCs w:val="24"/>
    </w:rPr>
  </w:style>
  <w:style w:type="character" w:customStyle="1" w:styleId="251">
    <w:name w:val="正文文本 2 字符1"/>
    <w:qFormat/>
    <w:uiPriority w:val="0"/>
    <w:rPr>
      <w:rFonts w:ascii="Times New Roman" w:hAnsi="仿宋" w:eastAsia="仿宋" w:cs="Times New Roman"/>
      <w:szCs w:val="20"/>
    </w:rPr>
  </w:style>
  <w:style w:type="character" w:customStyle="1" w:styleId="252">
    <w:name w:val="称呼 字符1"/>
    <w:qFormat/>
    <w:uiPriority w:val="0"/>
    <w:rPr>
      <w:rFonts w:ascii="Times New Roman" w:hAnsi="仿宋" w:eastAsia="仿宋" w:cs="Times New Roman"/>
      <w:sz w:val="24"/>
      <w:szCs w:val="20"/>
    </w:rPr>
  </w:style>
  <w:style w:type="character" w:customStyle="1" w:styleId="253">
    <w:name w:val="脚注文本 字符1"/>
    <w:qFormat/>
    <w:uiPriority w:val="99"/>
    <w:rPr>
      <w:rFonts w:ascii="Times New Roman" w:hAnsi="仿宋" w:eastAsia="仿宋" w:cs="Times New Roman"/>
      <w:sz w:val="24"/>
      <w:szCs w:val="24"/>
    </w:rPr>
  </w:style>
  <w:style w:type="character" w:customStyle="1" w:styleId="254">
    <w:name w:val="HTML 预设格式 字符1"/>
    <w:qFormat/>
    <w:uiPriority w:val="99"/>
    <w:rPr>
      <w:rFonts w:ascii="仿宋" w:hAnsi="宋体" w:eastAsia="仿宋" w:cs="Times New Roman"/>
      <w:kern w:val="0"/>
      <w:sz w:val="24"/>
      <w:szCs w:val="24"/>
    </w:rPr>
  </w:style>
  <w:style w:type="character" w:customStyle="1" w:styleId="255">
    <w:name w:val="尾注文本 字符1"/>
    <w:qFormat/>
    <w:uiPriority w:val="0"/>
    <w:rPr>
      <w:rFonts w:ascii="Times New Roman" w:hAnsi="仿宋" w:eastAsia="仿宋" w:cs="Times New Roman"/>
      <w:szCs w:val="24"/>
    </w:rPr>
  </w:style>
  <w:style w:type="character" w:customStyle="1" w:styleId="256">
    <w:name w:val="正文首行缩进 字符1"/>
    <w:qFormat/>
    <w:uiPriority w:val="0"/>
    <w:rPr>
      <w:rFonts w:ascii="Tahoma" w:hAnsi="Tahoma" w:eastAsia="仿宋" w:cs="Times New Roman"/>
      <w:sz w:val="24"/>
      <w:szCs w:val="21"/>
    </w:rPr>
  </w:style>
  <w:style w:type="character" w:customStyle="1" w:styleId="257">
    <w:name w:val="标题 字符2"/>
    <w:qFormat/>
    <w:uiPriority w:val="10"/>
    <w:rPr>
      <w:rFonts w:ascii="Cambria" w:hAnsi="Cambria" w:eastAsia="仿宋" w:cs="Times New Roman"/>
      <w:b/>
      <w:bCs/>
      <w:sz w:val="24"/>
      <w:szCs w:val="32"/>
    </w:rPr>
  </w:style>
  <w:style w:type="character" w:customStyle="1" w:styleId="258">
    <w:name w:val="font21"/>
    <w:qFormat/>
    <w:uiPriority w:val="0"/>
    <w:rPr>
      <w:rFonts w:hint="eastAsia" w:ascii="宋体" w:hAnsi="宋体" w:eastAsia="宋体" w:cs="宋体"/>
      <w:color w:val="000000"/>
      <w:sz w:val="21"/>
      <w:szCs w:val="21"/>
    </w:rPr>
  </w:style>
  <w:style w:type="character" w:customStyle="1" w:styleId="259">
    <w:name w:val="defaultfont1"/>
    <w:qFormat/>
    <w:uiPriority w:val="0"/>
  </w:style>
  <w:style w:type="character" w:customStyle="1" w:styleId="260">
    <w:name w:val="不明显强调11"/>
    <w:qFormat/>
    <w:uiPriority w:val="19"/>
    <w:rPr>
      <w:i/>
      <w:iCs/>
      <w:color w:val="808080"/>
    </w:rPr>
  </w:style>
  <w:style w:type="character" w:customStyle="1" w:styleId="261">
    <w:name w:val="da"/>
    <w:qFormat/>
    <w:uiPriority w:val="0"/>
  </w:style>
  <w:style w:type="character" w:customStyle="1" w:styleId="262">
    <w:name w:val="招股正文格式 Char Char"/>
    <w:qFormat/>
    <w:uiPriority w:val="0"/>
    <w:rPr>
      <w:sz w:val="24"/>
    </w:rPr>
  </w:style>
  <w:style w:type="character" w:customStyle="1" w:styleId="263">
    <w:name w:val="正文0 Char Char"/>
    <w:qFormat/>
    <w:uiPriority w:val="0"/>
    <w:rPr>
      <w:rFonts w:ascii="Times New Roman" w:hAnsi="Times New Roman" w:eastAsia="仿宋_GB2312" w:cs="宋体"/>
      <w:sz w:val="24"/>
      <w:szCs w:val="24"/>
    </w:rPr>
  </w:style>
  <w:style w:type="character" w:customStyle="1" w:styleId="264">
    <w:name w:val="content1"/>
    <w:qFormat/>
    <w:uiPriority w:val="0"/>
    <w:rPr>
      <w:color w:val="000000"/>
      <w:sz w:val="21"/>
    </w:rPr>
  </w:style>
  <w:style w:type="character" w:customStyle="1" w:styleId="265">
    <w:name w:val="批注框文本 Char1"/>
    <w:qFormat/>
    <w:uiPriority w:val="0"/>
    <w:rPr>
      <w:sz w:val="18"/>
      <w:szCs w:val="18"/>
    </w:rPr>
  </w:style>
  <w:style w:type="character" w:customStyle="1" w:styleId="266">
    <w:name w:val="明显参考11"/>
    <w:qFormat/>
    <w:uiPriority w:val="0"/>
    <w:rPr>
      <w:b/>
      <w:bCs/>
      <w:color w:val="76923C"/>
      <w:u w:val="single" w:color="9BBB59"/>
    </w:rPr>
  </w:style>
  <w:style w:type="character" w:customStyle="1" w:styleId="267">
    <w:name w:val="明显参考2"/>
    <w:qFormat/>
    <w:uiPriority w:val="0"/>
    <w:rPr>
      <w:b/>
      <w:bCs/>
      <w:color w:val="76923C"/>
      <w:u w:val="single" w:color="9BBB59"/>
    </w:rPr>
  </w:style>
  <w:style w:type="character" w:customStyle="1" w:styleId="268">
    <w:name w:val="页眉 Char Char"/>
    <w:qFormat/>
    <w:uiPriority w:val="0"/>
    <w:rPr>
      <w:sz w:val="18"/>
      <w:szCs w:val="18"/>
    </w:rPr>
  </w:style>
  <w:style w:type="character" w:customStyle="1" w:styleId="269">
    <w:name w:val="YL图内容 Char Char"/>
    <w:qFormat/>
    <w:uiPriority w:val="0"/>
    <w:rPr>
      <w:rFonts w:ascii="仿宋" w:hAnsi="仿宋" w:cs="Times New Roman"/>
      <w:color w:val="000000"/>
      <w:szCs w:val="24"/>
    </w:rPr>
  </w:style>
  <w:style w:type="character" w:customStyle="1" w:styleId="270">
    <w:name w:val="YL正文 Char Char"/>
    <w:qFormat/>
    <w:uiPriority w:val="0"/>
    <w:rPr>
      <w:rFonts w:ascii="仿宋" w:hAnsi="仿宋" w:cs="Times New Roman"/>
      <w:color w:val="000000"/>
      <w:sz w:val="24"/>
      <w:szCs w:val="24"/>
    </w:rPr>
  </w:style>
  <w:style w:type="character" w:customStyle="1" w:styleId="271">
    <w:name w:val="YL五级 Char Char"/>
    <w:qFormat/>
    <w:uiPriority w:val="0"/>
    <w:rPr>
      <w:rFonts w:ascii="仿宋" w:hAnsi="仿宋"/>
      <w:b/>
      <w:color w:val="000000"/>
      <w:sz w:val="24"/>
      <w:szCs w:val="24"/>
    </w:rPr>
  </w:style>
  <w:style w:type="character" w:customStyle="1" w:styleId="272">
    <w:name w:val="YL表头 Char Char"/>
    <w:qFormat/>
    <w:uiPriority w:val="0"/>
    <w:rPr>
      <w:rFonts w:ascii="Cambria" w:hAnsi="Cambria"/>
      <w:b/>
    </w:rPr>
  </w:style>
  <w:style w:type="character" w:customStyle="1" w:styleId="273">
    <w:name w:val="TBB正文 Char Char"/>
    <w:qFormat/>
    <w:uiPriority w:val="0"/>
  </w:style>
  <w:style w:type="character" w:customStyle="1" w:styleId="274">
    <w:name w:val="正文文本 3 Char1"/>
    <w:qFormat/>
    <w:uiPriority w:val="0"/>
    <w:rPr>
      <w:rFonts w:ascii="Calibri" w:hAnsi="Calibri" w:eastAsia="宋体" w:cs="Calibri"/>
      <w:sz w:val="16"/>
      <w:szCs w:val="16"/>
    </w:rPr>
  </w:style>
  <w:style w:type="character" w:customStyle="1" w:styleId="275">
    <w:name w:val="zi_101"/>
    <w:qFormat/>
    <w:uiPriority w:val="0"/>
    <w:rPr>
      <w:rFonts w:hint="default" w:ascii="Verdana" w:hAnsi="Verdana"/>
      <w:color w:val="C90000"/>
      <w:sz w:val="18"/>
      <w:szCs w:val="18"/>
    </w:rPr>
  </w:style>
  <w:style w:type="character" w:customStyle="1" w:styleId="276">
    <w:name w:val="超链接1"/>
    <w:qFormat/>
    <w:uiPriority w:val="0"/>
    <w:rPr>
      <w:color w:val="000000"/>
      <w:u w:val="none"/>
    </w:rPr>
  </w:style>
  <w:style w:type="character" w:customStyle="1" w:styleId="277">
    <w:name w:val="TBB三级 Char Char"/>
    <w:qFormat/>
    <w:uiPriority w:val="0"/>
    <w:rPr>
      <w:rFonts w:ascii="宋体" w:hAnsi="宋体"/>
      <w:b/>
      <w:bCs/>
      <w:sz w:val="24"/>
      <w:szCs w:val="21"/>
      <w:shd w:val="clear" w:color="auto" w:fill="FFFFFF"/>
    </w:rPr>
  </w:style>
  <w:style w:type="character" w:customStyle="1" w:styleId="278">
    <w:name w:val="TBB二级 Char Char"/>
    <w:qFormat/>
    <w:uiPriority w:val="0"/>
    <w:rPr>
      <w:rFonts w:ascii="宋体" w:hAnsi="宋体"/>
      <w:b/>
      <w:bCs/>
      <w:color w:val="0070C0"/>
      <w:szCs w:val="21"/>
      <w:shd w:val="clear" w:color="auto" w:fill="FFFFFF"/>
    </w:rPr>
  </w:style>
  <w:style w:type="character" w:customStyle="1" w:styleId="279">
    <w:name w:val="TBB四级 Char Char"/>
    <w:qFormat/>
    <w:uiPriority w:val="0"/>
    <w:rPr>
      <w:rFonts w:ascii="宋体" w:hAnsi="宋体"/>
      <w:b/>
      <w:szCs w:val="21"/>
      <w:shd w:val="clear" w:color="auto" w:fill="FFFFFF"/>
    </w:rPr>
  </w:style>
  <w:style w:type="character" w:customStyle="1" w:styleId="280">
    <w:name w:val="TBB五级 Char Char"/>
    <w:qFormat/>
    <w:uiPriority w:val="0"/>
    <w:rPr>
      <w:rFonts w:ascii="宋体" w:hAnsi="宋体"/>
      <w:b/>
      <w:bCs/>
      <w:szCs w:val="21"/>
    </w:rPr>
  </w:style>
  <w:style w:type="character" w:customStyle="1" w:styleId="281">
    <w:name w:val="TBB一级 Char Char"/>
    <w:qFormat/>
    <w:uiPriority w:val="0"/>
    <w:rPr>
      <w:rFonts w:ascii="宋体" w:hAnsi="宋体"/>
      <w:b/>
      <w:bCs/>
      <w:sz w:val="44"/>
      <w:szCs w:val="21"/>
      <w:shd w:val="clear" w:color="auto" w:fill="FFFFFF"/>
    </w:rPr>
  </w:style>
  <w:style w:type="character" w:customStyle="1" w:styleId="282">
    <w:name w:val="TBB表内容 Char Char"/>
    <w:qFormat/>
    <w:uiPriority w:val="0"/>
    <w:rPr>
      <w:rFonts w:ascii="宋体" w:hAnsi="宋体"/>
      <w:szCs w:val="21"/>
    </w:rPr>
  </w:style>
  <w:style w:type="character" w:customStyle="1" w:styleId="283">
    <w:name w:val="TBB二 Char Char"/>
    <w:qFormat/>
    <w:uiPriority w:val="0"/>
    <w:rPr>
      <w:rFonts w:ascii="宋体" w:hAnsi="宋体"/>
      <w:b/>
      <w:bCs/>
      <w:color w:val="0070C0"/>
      <w:sz w:val="28"/>
      <w:szCs w:val="21"/>
      <w:shd w:val="clear" w:color="auto" w:fill="FFFFFF"/>
    </w:rPr>
  </w:style>
  <w:style w:type="character" w:customStyle="1" w:styleId="284">
    <w:name w:val="TBB表第一行 Char Char"/>
    <w:qFormat/>
    <w:uiPriority w:val="0"/>
    <w:rPr>
      <w:rFonts w:ascii="宋体" w:hAnsi="宋体" w:eastAsia="宋体"/>
      <w:b/>
      <w:color w:val="FFFFFF"/>
      <w:sz w:val="24"/>
      <w:szCs w:val="21"/>
    </w:rPr>
  </w:style>
  <w:style w:type="character" w:customStyle="1" w:styleId="285">
    <w:name w:val="YL正文 Char Char Char"/>
    <w:qFormat/>
    <w:uiPriority w:val="0"/>
    <w:rPr>
      <w:rFonts w:ascii="仿宋" w:hAnsi="仿宋"/>
      <w:color w:val="000000"/>
      <w:sz w:val="24"/>
      <w:szCs w:val="24"/>
    </w:rPr>
  </w:style>
  <w:style w:type="character" w:customStyle="1" w:styleId="286">
    <w:name w:val="TBB六级 Char Char"/>
    <w:qFormat/>
    <w:uiPriority w:val="0"/>
    <w:rPr>
      <w:rFonts w:ascii="宋体" w:hAnsi="宋体"/>
      <w:b/>
      <w:bCs/>
      <w:szCs w:val="21"/>
    </w:rPr>
  </w:style>
  <w:style w:type="character" w:customStyle="1" w:styleId="287">
    <w:name w:val="YL六级 Char Char Char"/>
    <w:qFormat/>
    <w:uiPriority w:val="0"/>
    <w:rPr>
      <w:rFonts w:ascii="仿宋" w:hAnsi="仿宋" w:cs="Times New Roman"/>
      <w:b/>
      <w:color w:val="000000"/>
      <w:sz w:val="24"/>
      <w:szCs w:val="24"/>
    </w:rPr>
  </w:style>
  <w:style w:type="character" w:customStyle="1" w:styleId="288">
    <w:name w:val="TBB图标 Char Char"/>
    <w:qFormat/>
    <w:uiPriority w:val="0"/>
    <w:rPr>
      <w:rFonts w:ascii="宋体" w:hAnsi="宋体" w:eastAsia="宋体"/>
      <w:b/>
      <w:szCs w:val="21"/>
    </w:rPr>
  </w:style>
  <w:style w:type="character" w:customStyle="1" w:styleId="289">
    <w:name w:val="标题 Char1"/>
    <w:qFormat/>
    <w:uiPriority w:val="10"/>
    <w:rPr>
      <w:rFonts w:ascii="Cambria" w:hAnsi="Cambria" w:eastAsia="宋体" w:cs="Times New Roman"/>
      <w:b/>
      <w:bCs/>
      <w:sz w:val="32"/>
      <w:szCs w:val="32"/>
    </w:rPr>
  </w:style>
  <w:style w:type="character" w:customStyle="1" w:styleId="290">
    <w:name w:val="正文文本 2 Char1"/>
    <w:qFormat/>
    <w:uiPriority w:val="0"/>
    <w:rPr>
      <w:rFonts w:ascii="Calibri" w:hAnsi="Calibri" w:eastAsia="宋体" w:cs="Times New Roman"/>
    </w:rPr>
  </w:style>
  <w:style w:type="character" w:customStyle="1" w:styleId="291">
    <w:name w:val="正文文本 + Arial Unicode MS"/>
    <w:qFormat/>
    <w:uiPriority w:val="0"/>
    <w:rPr>
      <w:rFonts w:ascii="Arial Unicode MS" w:hAnsi="宋体" w:eastAsia="Arial Unicode MS" w:cs="Arial Unicode MS"/>
      <w:color w:val="000000"/>
      <w:spacing w:val="0"/>
      <w:w w:val="100"/>
      <w:position w:val="0"/>
      <w:sz w:val="27"/>
      <w:szCs w:val="27"/>
      <w:shd w:val="clear" w:color="auto" w:fill="FFFFFF"/>
      <w:lang w:val="zh-TW"/>
    </w:rPr>
  </w:style>
  <w:style w:type="character" w:customStyle="1" w:styleId="292">
    <w:name w:val="Char Char21"/>
    <w:qFormat/>
    <w:uiPriority w:val="0"/>
    <w:rPr>
      <w:rFonts w:ascii="宋体" w:hAnsi="宋体" w:eastAsia="宋体"/>
      <w:kern w:val="2"/>
      <w:sz w:val="24"/>
      <w:szCs w:val="18"/>
      <w:lang w:val="en-US" w:eastAsia="zh-CN" w:bidi="ar-SA"/>
    </w:rPr>
  </w:style>
  <w:style w:type="character" w:customStyle="1" w:styleId="293">
    <w:name w:val="Char Char6"/>
    <w:qFormat/>
    <w:uiPriority w:val="0"/>
    <w:rPr>
      <w:rFonts w:eastAsia="宋体"/>
      <w:kern w:val="2"/>
      <w:sz w:val="18"/>
      <w:szCs w:val="18"/>
      <w:lang w:val="en-US" w:eastAsia="zh-CN" w:bidi="ar-SA"/>
    </w:rPr>
  </w:style>
  <w:style w:type="character" w:customStyle="1" w:styleId="294">
    <w:name w:val="font111"/>
    <w:qFormat/>
    <w:uiPriority w:val="0"/>
    <w:rPr>
      <w:rFonts w:hint="eastAsia" w:ascii="宋体" w:hAnsi="宋体" w:eastAsia="宋体"/>
      <w:color w:val="000000"/>
      <w:sz w:val="24"/>
      <w:szCs w:val="24"/>
      <w:u w:val="none"/>
    </w:rPr>
  </w:style>
  <w:style w:type="character" w:customStyle="1" w:styleId="295">
    <w:name w:val="XN图标 Char Char"/>
    <w:qFormat/>
    <w:uiPriority w:val="0"/>
    <w:rPr>
      <w:rFonts w:ascii="仿宋" w:hAnsi="仿宋" w:eastAsia="仿宋"/>
      <w:color w:val="000000"/>
      <w:kern w:val="2"/>
      <w:sz w:val="21"/>
      <w:szCs w:val="24"/>
      <w:lang w:val="en-US" w:eastAsia="zh-CN" w:bidi="ar-SA"/>
    </w:rPr>
  </w:style>
  <w:style w:type="character" w:customStyle="1" w:styleId="296">
    <w:name w:val="XN表头 Char Char"/>
    <w:qFormat/>
    <w:uiPriority w:val="0"/>
    <w:rPr>
      <w:rFonts w:ascii="Cambria" w:hAnsi="Cambria" w:eastAsia="黑体" w:cs="Times New Roman"/>
      <w:b/>
      <w:kern w:val="2"/>
      <w:szCs w:val="20"/>
    </w:rPr>
  </w:style>
  <w:style w:type="character" w:customStyle="1" w:styleId="297">
    <w:name w:val="XN三级标题 Char Char"/>
    <w:qFormat/>
    <w:uiPriority w:val="0"/>
    <w:rPr>
      <w:rFonts w:ascii="仿宋" w:hAnsi="仿宋" w:eastAsia="仿宋"/>
      <w:b/>
      <w:color w:val="000000"/>
      <w:kern w:val="2"/>
      <w:sz w:val="30"/>
      <w:szCs w:val="24"/>
    </w:rPr>
  </w:style>
  <w:style w:type="character" w:customStyle="1" w:styleId="298">
    <w:name w:val="font11"/>
    <w:qFormat/>
    <w:uiPriority w:val="0"/>
    <w:rPr>
      <w:rFonts w:hint="eastAsia" w:ascii="宋体" w:hAnsi="宋体" w:eastAsia="宋体" w:cs="宋体"/>
      <w:color w:val="000000"/>
      <w:sz w:val="22"/>
      <w:szCs w:val="22"/>
      <w:u w:val="none"/>
    </w:rPr>
  </w:style>
  <w:style w:type="character" w:customStyle="1" w:styleId="299">
    <w:name w:val="sugg-loading"/>
    <w:qFormat/>
    <w:uiPriority w:val="0"/>
  </w:style>
  <w:style w:type="character" w:customStyle="1" w:styleId="300">
    <w:name w:val="page-cur"/>
    <w:qFormat/>
    <w:uiPriority w:val="0"/>
    <w:rPr>
      <w:b/>
      <w:color w:val="333333"/>
      <w:bdr w:val="single" w:color="E5E5E5" w:sz="6" w:space="0"/>
      <w:shd w:val="clear" w:color="auto" w:fill="F2F2F2"/>
    </w:rPr>
  </w:style>
  <w:style w:type="character" w:customStyle="1" w:styleId="301">
    <w:name w:val="font31"/>
    <w:qFormat/>
    <w:uiPriority w:val="0"/>
    <w:rPr>
      <w:rFonts w:hint="eastAsia" w:ascii="宋体" w:hAnsi="宋体" w:eastAsia="宋体" w:cs="宋体"/>
      <w:color w:val="000000"/>
      <w:sz w:val="24"/>
      <w:szCs w:val="24"/>
      <w:u w:val="none"/>
    </w:rPr>
  </w:style>
  <w:style w:type="paragraph" w:customStyle="1" w:styleId="302">
    <w:name w:val="纯文本1"/>
    <w:basedOn w:val="1"/>
    <w:qFormat/>
    <w:uiPriority w:val="0"/>
    <w:pPr>
      <w:adjustRightInd w:val="0"/>
      <w:ind w:firstLine="200" w:firstLineChars="200"/>
      <w:textAlignment w:val="baseline"/>
    </w:pPr>
    <w:rPr>
      <w:rFonts w:ascii="仿宋" w:hAnsi="Courier New" w:eastAsia="仿宋"/>
      <w:szCs w:val="20"/>
    </w:rPr>
  </w:style>
  <w:style w:type="paragraph" w:customStyle="1" w:styleId="303">
    <w:name w:val="Char Char Char"/>
    <w:basedOn w:val="1"/>
    <w:qFormat/>
    <w:uiPriority w:val="0"/>
    <w:pPr>
      <w:widowControl/>
      <w:spacing w:after="160" w:line="240" w:lineRule="exact"/>
      <w:ind w:firstLine="200" w:firstLineChars="200"/>
      <w:jc w:val="left"/>
    </w:pPr>
    <w:rPr>
      <w:rFonts w:hAnsi="仿宋" w:eastAsia="仿宋"/>
      <w:szCs w:val="20"/>
    </w:rPr>
  </w:style>
  <w:style w:type="paragraph" w:customStyle="1" w:styleId="304">
    <w:name w:val="XN图标"/>
    <w:basedOn w:val="1"/>
    <w:link w:val="305"/>
    <w:qFormat/>
    <w:uiPriority w:val="0"/>
    <w:pPr>
      <w:spacing w:line="264" w:lineRule="auto"/>
      <w:jc w:val="center"/>
    </w:pPr>
    <w:rPr>
      <w:rFonts w:ascii="仿宋" w:hAnsi="仿宋" w:eastAsia="仿宋"/>
      <w:color w:val="000000"/>
    </w:rPr>
  </w:style>
  <w:style w:type="character" w:customStyle="1" w:styleId="305">
    <w:name w:val="XN图标 Char"/>
    <w:link w:val="304"/>
    <w:qFormat/>
    <w:uiPriority w:val="0"/>
    <w:rPr>
      <w:rFonts w:ascii="仿宋" w:hAnsi="仿宋" w:eastAsia="仿宋" w:cstheme="minorBidi"/>
      <w:color w:val="000000"/>
      <w:kern w:val="2"/>
      <w:sz w:val="21"/>
      <w:szCs w:val="24"/>
    </w:rPr>
  </w:style>
  <w:style w:type="paragraph" w:customStyle="1" w:styleId="306">
    <w:name w:val="黑点"/>
    <w:basedOn w:val="1"/>
    <w:link w:val="307"/>
    <w:qFormat/>
    <w:uiPriority w:val="0"/>
    <w:rPr>
      <w:rFonts w:ascii="宋体" w:hAnsi="宋体" w:eastAsia="仿宋"/>
      <w:kern w:val="0"/>
      <w:sz w:val="20"/>
      <w:szCs w:val="21"/>
    </w:rPr>
  </w:style>
  <w:style w:type="character" w:customStyle="1" w:styleId="307">
    <w:name w:val="黑点 Char"/>
    <w:link w:val="306"/>
    <w:qFormat/>
    <w:uiPriority w:val="0"/>
    <w:rPr>
      <w:rFonts w:ascii="宋体" w:hAnsi="宋体" w:eastAsia="仿宋" w:cstheme="minorBidi"/>
      <w:szCs w:val="21"/>
    </w:rPr>
  </w:style>
  <w:style w:type="paragraph" w:customStyle="1" w:styleId="308">
    <w:name w:val="华帝三级"/>
    <w:basedOn w:val="1"/>
    <w:qFormat/>
    <w:uiPriority w:val="0"/>
    <w:pPr>
      <w:adjustRightInd w:val="0"/>
      <w:spacing w:beforeLines="50" w:afterLines="50" w:line="300" w:lineRule="auto"/>
      <w:ind w:firstLine="200" w:firstLineChars="200"/>
      <w:outlineLvl w:val="2"/>
    </w:pPr>
    <w:rPr>
      <w:rFonts w:ascii="仿宋" w:hAnsi="仿宋" w:eastAsia="仿宋"/>
      <w:b/>
    </w:rPr>
  </w:style>
  <w:style w:type="paragraph" w:customStyle="1" w:styleId="309">
    <w:name w:val="XN五级标题"/>
    <w:basedOn w:val="1"/>
    <w:link w:val="310"/>
    <w:qFormat/>
    <w:uiPriority w:val="0"/>
    <w:pPr>
      <w:adjustRightInd w:val="0"/>
      <w:spacing w:after="50"/>
      <w:ind w:firstLine="200" w:firstLineChars="200"/>
      <w:outlineLvl w:val="4"/>
    </w:pPr>
    <w:rPr>
      <w:rFonts w:ascii="仿宋" w:hAnsi="仿宋" w:eastAsia="仿宋"/>
      <w:b/>
      <w:sz w:val="24"/>
    </w:rPr>
  </w:style>
  <w:style w:type="character" w:customStyle="1" w:styleId="310">
    <w:name w:val="XN五级标题 Char"/>
    <w:link w:val="309"/>
    <w:qFormat/>
    <w:uiPriority w:val="0"/>
    <w:rPr>
      <w:rFonts w:ascii="仿宋" w:hAnsi="仿宋" w:eastAsia="仿宋" w:cstheme="minorBidi"/>
      <w:b/>
      <w:kern w:val="2"/>
      <w:sz w:val="24"/>
      <w:szCs w:val="24"/>
    </w:rPr>
  </w:style>
  <w:style w:type="paragraph" w:customStyle="1" w:styleId="311">
    <w:name w:val="xl71"/>
    <w:basedOn w:val="1"/>
    <w:qFormat/>
    <w:uiPriority w:val="0"/>
    <w:pPr>
      <w:widowControl/>
      <w:spacing w:before="100" w:beforeAutospacing="1" w:after="100" w:afterAutospacing="1"/>
      <w:ind w:firstLine="200" w:firstLineChars="200"/>
      <w:jc w:val="right"/>
    </w:pPr>
    <w:rPr>
      <w:rFonts w:ascii="仿宋" w:hAnsi="宋体" w:eastAsia="仿宋" w:cs="宋体"/>
      <w:kern w:val="0"/>
    </w:rPr>
  </w:style>
  <w:style w:type="paragraph" w:customStyle="1" w:styleId="312">
    <w:name w:val="科图表"/>
    <w:basedOn w:val="1"/>
    <w:link w:val="313"/>
    <w:qFormat/>
    <w:uiPriority w:val="0"/>
    <w:pPr>
      <w:spacing w:line="360" w:lineRule="auto"/>
      <w:ind w:firstLine="422" w:firstLineChars="200"/>
      <w:jc w:val="center"/>
    </w:pPr>
    <w:rPr>
      <w:rFonts w:ascii="宋体" w:hAnsi="宋体"/>
      <w:b/>
      <w:bCs/>
      <w:kern w:val="0"/>
      <w:szCs w:val="21"/>
    </w:rPr>
  </w:style>
  <w:style w:type="character" w:customStyle="1" w:styleId="313">
    <w:name w:val="科图表 Char"/>
    <w:link w:val="312"/>
    <w:qFormat/>
    <w:locked/>
    <w:uiPriority w:val="0"/>
    <w:rPr>
      <w:rFonts w:ascii="宋体" w:hAnsi="宋体" w:cstheme="minorBidi"/>
      <w:b/>
      <w:bCs/>
      <w:sz w:val="21"/>
      <w:szCs w:val="21"/>
    </w:rPr>
  </w:style>
  <w:style w:type="paragraph" w:customStyle="1" w:styleId="314">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仿宋" w:hAnsi="宋体" w:eastAsia="仿宋" w:cs="宋体"/>
      <w:b/>
      <w:bCs/>
      <w:kern w:val="0"/>
    </w:rPr>
  </w:style>
  <w:style w:type="paragraph" w:customStyle="1" w:styleId="315">
    <w:name w:val="Char Char Char Char1"/>
    <w:basedOn w:val="1"/>
    <w:qFormat/>
    <w:uiPriority w:val="0"/>
    <w:pPr>
      <w:widowControl/>
      <w:spacing w:after="160" w:line="240" w:lineRule="exact"/>
      <w:ind w:firstLine="200" w:firstLineChars="200"/>
      <w:jc w:val="left"/>
    </w:pPr>
    <w:rPr>
      <w:rFonts w:hAnsi="仿宋" w:eastAsia="仿宋"/>
      <w:szCs w:val="20"/>
    </w:rPr>
  </w:style>
  <w:style w:type="paragraph" w:customStyle="1" w:styleId="316">
    <w:name w:val="四通图表内容"/>
    <w:basedOn w:val="1"/>
    <w:link w:val="317"/>
    <w:qFormat/>
    <w:uiPriority w:val="0"/>
    <w:pPr>
      <w:tabs>
        <w:tab w:val="left" w:pos="840"/>
      </w:tabs>
      <w:adjustRightInd w:val="0"/>
      <w:snapToGrid w:val="0"/>
      <w:spacing w:line="264" w:lineRule="auto"/>
      <w:ind w:firstLine="200" w:firstLineChars="200"/>
      <w:jc w:val="center"/>
    </w:pPr>
    <w:rPr>
      <w:rFonts w:ascii="仿宋" w:hAnsi="仿宋" w:eastAsia="仿宋"/>
      <w:bCs/>
      <w:color w:val="000000"/>
      <w:kern w:val="0"/>
      <w:lang w:val="zh-CN"/>
    </w:rPr>
  </w:style>
  <w:style w:type="character" w:customStyle="1" w:styleId="317">
    <w:name w:val="四通图表内容 Char"/>
    <w:link w:val="316"/>
    <w:qFormat/>
    <w:uiPriority w:val="0"/>
    <w:rPr>
      <w:rFonts w:ascii="仿宋" w:hAnsi="仿宋" w:eastAsia="仿宋" w:cstheme="minorBidi"/>
      <w:bCs/>
      <w:color w:val="000000"/>
      <w:sz w:val="21"/>
      <w:szCs w:val="24"/>
      <w:lang w:val="zh-CN"/>
    </w:rPr>
  </w:style>
  <w:style w:type="paragraph" w:customStyle="1" w:styleId="318">
    <w:name w:val="xl72"/>
    <w:basedOn w:val="1"/>
    <w:qFormat/>
    <w:uiPriority w:val="0"/>
    <w:pPr>
      <w:widowControl/>
      <w:spacing w:before="100" w:beforeAutospacing="1" w:after="100" w:afterAutospacing="1"/>
      <w:ind w:firstLine="200" w:firstLineChars="200"/>
      <w:jc w:val="right"/>
    </w:pPr>
    <w:rPr>
      <w:rFonts w:ascii="仿宋" w:hAnsi="宋体" w:eastAsia="仿宋" w:cs="宋体"/>
      <w:kern w:val="0"/>
    </w:rPr>
  </w:style>
  <w:style w:type="paragraph" w:customStyle="1" w:styleId="319">
    <w:name w:val="pa-3"/>
    <w:basedOn w:val="1"/>
    <w:qFormat/>
    <w:uiPriority w:val="0"/>
    <w:pPr>
      <w:widowControl/>
      <w:spacing w:before="150" w:after="150"/>
      <w:ind w:firstLine="200" w:firstLineChars="200"/>
      <w:jc w:val="left"/>
    </w:pPr>
    <w:rPr>
      <w:rFonts w:ascii="仿宋" w:hAnsi="宋体" w:eastAsia="仿宋" w:cs="宋体"/>
      <w:kern w:val="0"/>
    </w:rPr>
  </w:style>
  <w:style w:type="paragraph" w:customStyle="1" w:styleId="320">
    <w:name w:val="样式 标题 2 + 段前: 1 行 段后: 0.5 行"/>
    <w:basedOn w:val="6"/>
    <w:qFormat/>
    <w:uiPriority w:val="0"/>
    <w:pPr>
      <w:widowControl/>
      <w:adjustRightInd w:val="0"/>
      <w:snapToGrid w:val="0"/>
      <w:spacing w:before="0" w:after="0" w:line="300" w:lineRule="auto"/>
      <w:ind w:firstLine="200" w:firstLineChars="200"/>
      <w:jc w:val="left"/>
    </w:pPr>
    <w:rPr>
      <w:rFonts w:ascii="仿宋" w:hAnsi="宋体" w:eastAsia="仿宋" w:cs="宋体"/>
      <w:b w:val="0"/>
      <w:bCs w:val="0"/>
      <w:sz w:val="28"/>
      <w:szCs w:val="28"/>
    </w:rPr>
  </w:style>
  <w:style w:type="paragraph" w:customStyle="1" w:styleId="321">
    <w:name w:val="招股正文格式"/>
    <w:basedOn w:val="1"/>
    <w:link w:val="322"/>
    <w:qFormat/>
    <w:uiPriority w:val="0"/>
    <w:pPr>
      <w:spacing w:beforeLines="50" w:line="360" w:lineRule="auto"/>
      <w:ind w:firstLine="200" w:firstLineChars="200"/>
    </w:pPr>
    <w:rPr>
      <w:kern w:val="0"/>
      <w:sz w:val="24"/>
      <w:szCs w:val="20"/>
    </w:rPr>
  </w:style>
  <w:style w:type="character" w:customStyle="1" w:styleId="322">
    <w:name w:val="招股正文格式 Char"/>
    <w:link w:val="321"/>
    <w:qFormat/>
    <w:locked/>
    <w:uiPriority w:val="0"/>
    <w:rPr>
      <w:rFonts w:cstheme="minorBidi"/>
      <w:sz w:val="24"/>
    </w:rPr>
  </w:style>
  <w:style w:type="paragraph" w:customStyle="1" w:styleId="323">
    <w:name w:val="STL六级"/>
    <w:basedOn w:val="1"/>
    <w:link w:val="324"/>
    <w:qFormat/>
    <w:uiPriority w:val="0"/>
    <w:pPr>
      <w:tabs>
        <w:tab w:val="left" w:pos="142"/>
      </w:tabs>
      <w:spacing w:beforeLines="50" w:afterLines="50"/>
      <w:ind w:firstLine="200" w:firstLineChars="200"/>
      <w:jc w:val="left"/>
      <w:outlineLvl w:val="5"/>
    </w:pPr>
    <w:rPr>
      <w:rFonts w:ascii="仿宋" w:hAnsi="宋体" w:eastAsia="仿宋"/>
      <w:color w:val="000000"/>
    </w:rPr>
  </w:style>
  <w:style w:type="character" w:customStyle="1" w:styleId="324">
    <w:name w:val="STL六级 Char"/>
    <w:link w:val="323"/>
    <w:qFormat/>
    <w:uiPriority w:val="0"/>
    <w:rPr>
      <w:rFonts w:ascii="仿宋" w:hAnsi="宋体" w:eastAsia="仿宋" w:cstheme="minorBidi"/>
      <w:color w:val="000000"/>
      <w:kern w:val="2"/>
      <w:sz w:val="21"/>
      <w:szCs w:val="24"/>
    </w:rPr>
  </w:style>
  <w:style w:type="paragraph" w:customStyle="1" w:styleId="325">
    <w:name w:val="Char1"/>
    <w:basedOn w:val="1"/>
    <w:qFormat/>
    <w:uiPriority w:val="0"/>
    <w:pPr>
      <w:adjustRightInd w:val="0"/>
      <w:spacing w:line="360" w:lineRule="auto"/>
      <w:ind w:firstLine="200" w:firstLineChars="200"/>
    </w:pPr>
    <w:rPr>
      <w:rFonts w:hAnsi="仿宋" w:eastAsia="仿宋"/>
      <w:szCs w:val="20"/>
    </w:rPr>
  </w:style>
  <w:style w:type="paragraph" w:customStyle="1" w:styleId="326">
    <w:name w:val="XN表头"/>
    <w:basedOn w:val="24"/>
    <w:link w:val="327"/>
    <w:qFormat/>
    <w:uiPriority w:val="0"/>
    <w:pPr>
      <w:spacing w:beforeLines="30" w:afterLines="20" w:line="400" w:lineRule="exact"/>
      <w:jc w:val="center"/>
    </w:pPr>
    <w:rPr>
      <w:rFonts w:eastAsia="仿宋"/>
      <w:b/>
      <w:sz w:val="24"/>
    </w:rPr>
  </w:style>
  <w:style w:type="character" w:customStyle="1" w:styleId="327">
    <w:name w:val="XN表头 Char"/>
    <w:link w:val="326"/>
    <w:qFormat/>
    <w:locked/>
    <w:uiPriority w:val="0"/>
    <w:rPr>
      <w:rFonts w:ascii="Cambria" w:hAnsi="Cambria" w:eastAsia="仿宋" w:cstheme="minorBidi"/>
      <w:b/>
      <w:kern w:val="2"/>
      <w:sz w:val="24"/>
    </w:rPr>
  </w:style>
  <w:style w:type="paragraph" w:customStyle="1" w:styleId="32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pPr>
    <w:rPr>
      <w:rFonts w:ascii="仿宋" w:hAnsi="宋体" w:eastAsia="仿宋" w:cs="宋体"/>
      <w:kern w:val="0"/>
    </w:rPr>
  </w:style>
  <w:style w:type="paragraph" w:customStyle="1" w:styleId="329">
    <w:name w:val="样式 标题4 + 四号 左侧:  2 字符 首行缩进:  2 字符"/>
    <w:basedOn w:val="1"/>
    <w:qFormat/>
    <w:uiPriority w:val="0"/>
    <w:pPr>
      <w:spacing w:line="300" w:lineRule="auto"/>
      <w:ind w:left="200" w:leftChars="200" w:firstLine="200" w:firstLineChars="200"/>
      <w:jc w:val="left"/>
    </w:pPr>
    <w:rPr>
      <w:rFonts w:eastAsia="仿宋" w:cs="宋体"/>
      <w:b/>
      <w:bCs/>
      <w:color w:val="000000"/>
      <w:szCs w:val="20"/>
    </w:rPr>
  </w:style>
  <w:style w:type="paragraph" w:customStyle="1" w:styleId="330">
    <w:name w:val="pa-2"/>
    <w:basedOn w:val="1"/>
    <w:qFormat/>
    <w:uiPriority w:val="0"/>
    <w:pPr>
      <w:widowControl/>
      <w:spacing w:before="150" w:after="150"/>
      <w:ind w:firstLine="200" w:firstLineChars="200"/>
      <w:jc w:val="left"/>
    </w:pPr>
    <w:rPr>
      <w:rFonts w:ascii="仿宋" w:hAnsi="宋体" w:eastAsia="仿宋"/>
      <w:kern w:val="0"/>
      <w:szCs w:val="20"/>
    </w:rPr>
  </w:style>
  <w:style w:type="paragraph" w:customStyle="1" w:styleId="331">
    <w:name w:val="图表题"/>
    <w:basedOn w:val="1"/>
    <w:link w:val="332"/>
    <w:qFormat/>
    <w:uiPriority w:val="0"/>
    <w:pPr>
      <w:widowControl/>
      <w:spacing w:afterLines="50" w:line="300" w:lineRule="auto"/>
      <w:ind w:firstLine="200" w:firstLineChars="200"/>
      <w:jc w:val="center"/>
    </w:pPr>
    <w:rPr>
      <w:b/>
      <w:color w:val="000000"/>
      <w:kern w:val="0"/>
      <w:sz w:val="20"/>
    </w:rPr>
  </w:style>
  <w:style w:type="character" w:customStyle="1" w:styleId="332">
    <w:name w:val="图表题 Char1"/>
    <w:link w:val="331"/>
    <w:qFormat/>
    <w:locked/>
    <w:uiPriority w:val="0"/>
    <w:rPr>
      <w:rFonts w:cstheme="minorBidi"/>
      <w:b/>
      <w:color w:val="000000"/>
      <w:szCs w:val="24"/>
    </w:rPr>
  </w:style>
  <w:style w:type="paragraph" w:customStyle="1" w:styleId="333">
    <w:name w:val="TOC 标题111"/>
    <w:basedOn w:val="5"/>
    <w:next w:val="1"/>
    <w:qFormat/>
    <w:uiPriority w:val="39"/>
    <w:pPr>
      <w:widowControl/>
      <w:spacing w:before="480" w:line="276" w:lineRule="auto"/>
      <w:jc w:val="left"/>
      <w:outlineLvl w:val="9"/>
    </w:pPr>
    <w:rPr>
      <w:rFonts w:ascii="Cambria" w:hAnsi="Cambria"/>
      <w:color w:val="365F91"/>
      <w:kern w:val="0"/>
      <w:szCs w:val="28"/>
    </w:rPr>
  </w:style>
  <w:style w:type="paragraph" w:customStyle="1" w:styleId="334">
    <w:name w:val="二级无"/>
    <w:basedOn w:val="1"/>
    <w:qFormat/>
    <w:uiPriority w:val="0"/>
    <w:pPr>
      <w:widowControl/>
      <w:spacing w:before="50" w:after="50"/>
      <w:jc w:val="left"/>
      <w:outlineLvl w:val="3"/>
    </w:pPr>
    <w:rPr>
      <w:rFonts w:ascii="宋体"/>
      <w:kern w:val="0"/>
      <w:szCs w:val="21"/>
    </w:rPr>
  </w:style>
  <w:style w:type="paragraph" w:customStyle="1" w:styleId="335">
    <w:name w:val="xl77"/>
    <w:basedOn w:val="1"/>
    <w:qFormat/>
    <w:uiPriority w:val="0"/>
    <w:pPr>
      <w:widowControl/>
      <w:spacing w:before="100" w:beforeAutospacing="1" w:after="100" w:afterAutospacing="1"/>
      <w:ind w:firstLine="200" w:firstLineChars="200"/>
      <w:jc w:val="center"/>
    </w:pPr>
    <w:rPr>
      <w:rFonts w:ascii="仿宋" w:hAnsi="宋体" w:eastAsia="仿宋" w:cs="宋体"/>
      <w:b/>
      <w:bCs/>
      <w:kern w:val="0"/>
    </w:rPr>
  </w:style>
  <w:style w:type="paragraph" w:customStyle="1" w:styleId="336">
    <w:name w:val="black"/>
    <w:basedOn w:val="1"/>
    <w:qFormat/>
    <w:uiPriority w:val="0"/>
    <w:pPr>
      <w:widowControl/>
      <w:spacing w:before="100" w:beforeAutospacing="1" w:after="100" w:afterAutospacing="1" w:line="330" w:lineRule="atLeast"/>
      <w:ind w:firstLine="200" w:firstLineChars="200"/>
      <w:jc w:val="left"/>
    </w:pPr>
    <w:rPr>
      <w:rFonts w:ascii="??" w:hAnsi="??" w:eastAsia="仿宋" w:cs="宋体"/>
      <w:color w:val="333333"/>
      <w:kern w:val="0"/>
      <w:sz w:val="18"/>
      <w:szCs w:val="18"/>
    </w:rPr>
  </w:style>
  <w:style w:type="paragraph" w:customStyle="1" w:styleId="337">
    <w:name w:val="xl73"/>
    <w:basedOn w:val="1"/>
    <w:qFormat/>
    <w:uiPriority w:val="0"/>
    <w:pPr>
      <w:widowControl/>
      <w:spacing w:before="100" w:beforeAutospacing="1" w:after="100" w:afterAutospacing="1"/>
      <w:ind w:firstLine="200" w:firstLineChars="200"/>
      <w:jc w:val="right"/>
    </w:pPr>
    <w:rPr>
      <w:rFonts w:ascii="仿宋" w:hAnsi="宋体" w:eastAsia="仿宋" w:cs="宋体"/>
      <w:kern w:val="0"/>
    </w:rPr>
  </w:style>
  <w:style w:type="paragraph" w:customStyle="1" w:styleId="338">
    <w:name w:val="正文01"/>
    <w:basedOn w:val="1"/>
    <w:link w:val="339"/>
    <w:qFormat/>
    <w:uiPriority w:val="0"/>
    <w:pPr>
      <w:spacing w:before="60" w:line="460" w:lineRule="exact"/>
      <w:ind w:firstLine="200" w:firstLineChars="200"/>
    </w:pPr>
    <w:rPr>
      <w:rFonts w:hAnsi="仿宋" w:eastAsia="仿宋"/>
      <w:kern w:val="0"/>
    </w:rPr>
  </w:style>
  <w:style w:type="character" w:customStyle="1" w:styleId="339">
    <w:name w:val="正文01 Char"/>
    <w:link w:val="338"/>
    <w:qFormat/>
    <w:locked/>
    <w:uiPriority w:val="0"/>
    <w:rPr>
      <w:rFonts w:hAnsi="仿宋" w:eastAsia="仿宋" w:cstheme="minorBidi"/>
      <w:sz w:val="21"/>
      <w:szCs w:val="24"/>
    </w:rPr>
  </w:style>
  <w:style w:type="paragraph" w:customStyle="1" w:styleId="340">
    <w:name w:val="标准书眉一"/>
    <w:qFormat/>
    <w:uiPriority w:val="0"/>
    <w:rPr>
      <w:rFonts w:ascii="Times New Roman" w:hAnsi="Times New Roman" w:eastAsia="宋体" w:cs="Times New Roman"/>
      <w:lang w:val="en-US" w:eastAsia="zh-CN" w:bidi="ar-SA"/>
    </w:rPr>
  </w:style>
  <w:style w:type="paragraph" w:customStyle="1" w:styleId="341">
    <w:name w:val="正文1"/>
    <w:basedOn w:val="1"/>
    <w:next w:val="1"/>
    <w:qFormat/>
    <w:uiPriority w:val="0"/>
    <w:pPr>
      <w:snapToGrid w:val="0"/>
      <w:spacing w:line="288" w:lineRule="auto"/>
      <w:ind w:left="250" w:hanging="250" w:hangingChars="250"/>
      <w:jc w:val="left"/>
    </w:pPr>
    <w:rPr>
      <w:rFonts w:hAnsi="仿宋" w:eastAsia="仿宋"/>
      <w:sz w:val="18"/>
      <w:szCs w:val="18"/>
    </w:rPr>
  </w:style>
  <w:style w:type="paragraph" w:customStyle="1" w:styleId="342">
    <w:name w:val="文字"/>
    <w:basedOn w:val="1"/>
    <w:link w:val="343"/>
    <w:qFormat/>
    <w:uiPriority w:val="0"/>
    <w:pPr>
      <w:widowControl/>
      <w:spacing w:line="400" w:lineRule="exact"/>
      <w:ind w:firstLine="538" w:firstLineChars="224"/>
    </w:pPr>
    <w:rPr>
      <w:rFonts w:ascii="Calibri" w:hAnsi="Calibri" w:eastAsia="仿宋"/>
      <w:bCs/>
      <w:color w:val="000000"/>
    </w:rPr>
  </w:style>
  <w:style w:type="character" w:customStyle="1" w:styleId="343">
    <w:name w:val="文字 Char"/>
    <w:link w:val="342"/>
    <w:qFormat/>
    <w:locked/>
    <w:uiPriority w:val="0"/>
    <w:rPr>
      <w:rFonts w:ascii="Calibri" w:hAnsi="Calibri" w:eastAsia="仿宋" w:cstheme="minorBidi"/>
      <w:bCs/>
      <w:color w:val="000000"/>
      <w:kern w:val="2"/>
      <w:sz w:val="21"/>
      <w:szCs w:val="24"/>
    </w:rPr>
  </w:style>
  <w:style w:type="paragraph" w:customStyle="1" w:styleId="344">
    <w:name w:val="Char11"/>
    <w:basedOn w:val="1"/>
    <w:qFormat/>
    <w:uiPriority w:val="0"/>
    <w:pPr>
      <w:adjustRightInd w:val="0"/>
      <w:spacing w:line="360" w:lineRule="auto"/>
      <w:ind w:firstLine="200" w:firstLineChars="200"/>
    </w:pPr>
    <w:rPr>
      <w:rFonts w:hAnsi="仿宋" w:eastAsia="仿宋_GB2312"/>
      <w:kern w:val="0"/>
      <w:szCs w:val="20"/>
    </w:rPr>
  </w:style>
  <w:style w:type="paragraph" w:customStyle="1" w:styleId="345">
    <w:name w:val="图名格式"/>
    <w:basedOn w:val="1"/>
    <w:link w:val="346"/>
    <w:qFormat/>
    <w:uiPriority w:val="0"/>
    <w:pPr>
      <w:spacing w:afterLines="50" w:line="300" w:lineRule="auto"/>
      <w:jc w:val="center"/>
    </w:pPr>
    <w:rPr>
      <w:rFonts w:ascii="仿宋" w:hAnsi="仿宋" w:eastAsia="仿宋"/>
      <w:b/>
    </w:rPr>
  </w:style>
  <w:style w:type="character" w:customStyle="1" w:styleId="346">
    <w:name w:val="图名格式 Char"/>
    <w:link w:val="345"/>
    <w:qFormat/>
    <w:uiPriority w:val="0"/>
    <w:rPr>
      <w:rFonts w:ascii="仿宋" w:hAnsi="仿宋" w:eastAsia="仿宋" w:cstheme="minorBidi"/>
      <w:b/>
      <w:kern w:val="2"/>
      <w:sz w:val="21"/>
      <w:szCs w:val="24"/>
    </w:rPr>
  </w:style>
  <w:style w:type="paragraph" w:customStyle="1" w:styleId="34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pPr>
    <w:rPr>
      <w:rFonts w:ascii="仿宋" w:hAnsi="宋体" w:eastAsia="仿宋" w:cs="宋体"/>
      <w:kern w:val="0"/>
    </w:rPr>
  </w:style>
  <w:style w:type="paragraph" w:customStyle="1" w:styleId="348">
    <w:name w:val="样式 标题 2 + 首行缩进:  2 字符"/>
    <w:basedOn w:val="6"/>
    <w:qFormat/>
    <w:uiPriority w:val="0"/>
    <w:pPr>
      <w:spacing w:beforeLines="50" w:after="0" w:line="300" w:lineRule="auto"/>
      <w:ind w:firstLine="200" w:firstLineChars="200"/>
    </w:pPr>
    <w:rPr>
      <w:rFonts w:eastAsia="仿宋" w:cs="宋体"/>
      <w:bCs w:val="0"/>
      <w:color w:val="000000"/>
      <w:sz w:val="24"/>
      <w:szCs w:val="20"/>
    </w:rPr>
  </w:style>
  <w:style w:type="paragraph" w:customStyle="1" w:styleId="349">
    <w:name w:val="缺省文本"/>
    <w:basedOn w:val="1"/>
    <w:qFormat/>
    <w:uiPriority w:val="0"/>
    <w:pPr>
      <w:autoSpaceDE w:val="0"/>
      <w:autoSpaceDN w:val="0"/>
      <w:adjustRightInd w:val="0"/>
      <w:ind w:firstLine="200" w:firstLineChars="200"/>
      <w:jc w:val="left"/>
    </w:pPr>
    <w:rPr>
      <w:rFonts w:hAnsi="仿宋" w:eastAsia="仿宋"/>
      <w:kern w:val="0"/>
      <w:szCs w:val="20"/>
    </w:rPr>
  </w:style>
  <w:style w:type="paragraph" w:customStyle="1" w:styleId="350">
    <w:name w:val="样式 宋体 首行缩进:  2 字符"/>
    <w:basedOn w:val="1"/>
    <w:qFormat/>
    <w:uiPriority w:val="0"/>
    <w:pPr>
      <w:spacing w:line="300" w:lineRule="auto"/>
      <w:ind w:firstLine="420" w:firstLineChars="200"/>
    </w:pPr>
    <w:rPr>
      <w:rFonts w:ascii="仿宋" w:hAnsi="宋体" w:eastAsia="仿宋" w:cs="宋体"/>
      <w:kern w:val="0"/>
      <w:szCs w:val="20"/>
    </w:rPr>
  </w:style>
  <w:style w:type="paragraph" w:customStyle="1" w:styleId="351">
    <w:name w:val="Char Char Char Char2"/>
    <w:basedOn w:val="1"/>
    <w:qFormat/>
    <w:uiPriority w:val="0"/>
    <w:pPr>
      <w:widowControl/>
      <w:spacing w:after="160" w:line="240" w:lineRule="exact"/>
      <w:ind w:firstLine="200" w:firstLineChars="200"/>
      <w:jc w:val="left"/>
    </w:pPr>
    <w:rPr>
      <w:rFonts w:hAnsi="仿宋" w:eastAsia="仿宋"/>
      <w:szCs w:val="20"/>
    </w:rPr>
  </w:style>
  <w:style w:type="paragraph" w:customStyle="1" w:styleId="352">
    <w:name w:val="p0"/>
    <w:basedOn w:val="1"/>
    <w:qFormat/>
    <w:uiPriority w:val="0"/>
    <w:pPr>
      <w:widowControl/>
      <w:spacing w:before="100" w:beforeAutospacing="1" w:after="100" w:afterAutospacing="1"/>
      <w:ind w:firstLine="200" w:firstLineChars="200"/>
      <w:jc w:val="left"/>
    </w:pPr>
    <w:rPr>
      <w:rFonts w:ascii="仿宋" w:hAnsi="宋体" w:eastAsia="仿宋"/>
      <w:kern w:val="0"/>
      <w:szCs w:val="20"/>
    </w:rPr>
  </w:style>
  <w:style w:type="paragraph" w:customStyle="1" w:styleId="35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pPr>
    <w:rPr>
      <w:rFonts w:ascii="仿宋" w:hAnsi="宋体" w:eastAsia="仿宋" w:cs="宋体"/>
      <w:kern w:val="0"/>
    </w:rPr>
  </w:style>
  <w:style w:type="paragraph" w:customStyle="1" w:styleId="354">
    <w:name w:val="招股书标题3"/>
    <w:basedOn w:val="1"/>
    <w:next w:val="1"/>
    <w:qFormat/>
    <w:uiPriority w:val="0"/>
    <w:pPr>
      <w:spacing w:line="360" w:lineRule="auto"/>
      <w:ind w:firstLine="480" w:firstLineChars="200"/>
      <w:outlineLvl w:val="3"/>
    </w:pPr>
    <w:rPr>
      <w:rFonts w:ascii="楷体_GB2312" w:hAnsi="宋体" w:eastAsia="楷体_GB2312"/>
      <w:b/>
      <w:kern w:val="0"/>
      <w:position w:val="2"/>
    </w:rPr>
  </w:style>
  <w:style w:type="paragraph" w:customStyle="1" w:styleId="355">
    <w:name w:val="正文0"/>
    <w:basedOn w:val="1"/>
    <w:link w:val="356"/>
    <w:qFormat/>
    <w:uiPriority w:val="0"/>
    <w:pPr>
      <w:adjustRightInd w:val="0"/>
      <w:snapToGrid w:val="0"/>
      <w:spacing w:line="300" w:lineRule="auto"/>
      <w:ind w:firstLine="480" w:firstLineChars="200"/>
      <w:jc w:val="left"/>
    </w:pPr>
    <w:rPr>
      <w:kern w:val="0"/>
    </w:rPr>
  </w:style>
  <w:style w:type="character" w:customStyle="1" w:styleId="356">
    <w:name w:val="正文0 Char"/>
    <w:link w:val="355"/>
    <w:qFormat/>
    <w:uiPriority w:val="0"/>
    <w:rPr>
      <w:rFonts w:cstheme="minorBidi"/>
      <w:sz w:val="21"/>
      <w:szCs w:val="24"/>
    </w:rPr>
  </w:style>
  <w:style w:type="paragraph" w:customStyle="1" w:styleId="357">
    <w:name w:val="列出段落1"/>
    <w:basedOn w:val="1"/>
    <w:qFormat/>
    <w:uiPriority w:val="34"/>
    <w:pPr>
      <w:ind w:firstLine="420" w:firstLineChars="200"/>
    </w:pPr>
  </w:style>
  <w:style w:type="paragraph" w:customStyle="1" w:styleId="358">
    <w:name w:val="TOC 标题2"/>
    <w:basedOn w:val="5"/>
    <w:next w:val="1"/>
    <w:qFormat/>
    <w:uiPriority w:val="39"/>
    <w:pPr>
      <w:keepNext w:val="0"/>
      <w:widowControl/>
      <w:spacing w:beforeLines="50" w:afterLines="150" w:line="276" w:lineRule="auto"/>
      <w:ind w:firstLine="200" w:firstLineChars="200"/>
      <w:jc w:val="left"/>
      <w:outlineLvl w:val="9"/>
    </w:pPr>
    <w:rPr>
      <w:rFonts w:ascii="Cambria" w:hAnsi="Cambria" w:eastAsia="仿宋"/>
      <w:color w:val="365F91"/>
      <w:kern w:val="0"/>
      <w:szCs w:val="28"/>
    </w:rPr>
  </w:style>
  <w:style w:type="paragraph" w:customStyle="1" w:styleId="359">
    <w:name w:val="a)"/>
    <w:basedOn w:val="1"/>
    <w:link w:val="360"/>
    <w:qFormat/>
    <w:uiPriority w:val="0"/>
    <w:pPr>
      <w:spacing w:line="360" w:lineRule="auto"/>
      <w:ind w:firstLine="413" w:firstLineChars="196"/>
    </w:pPr>
    <w:rPr>
      <w:rFonts w:ascii="仿宋" w:hAnsi="宋体" w:eastAsia="仿宋"/>
      <w:b/>
      <w:color w:val="000000"/>
      <w:kern w:val="0"/>
      <w:sz w:val="20"/>
      <w:szCs w:val="21"/>
    </w:rPr>
  </w:style>
  <w:style w:type="character" w:customStyle="1" w:styleId="360">
    <w:name w:val="a) Char"/>
    <w:link w:val="359"/>
    <w:qFormat/>
    <w:uiPriority w:val="0"/>
    <w:rPr>
      <w:rFonts w:ascii="仿宋" w:hAnsi="宋体" w:eastAsia="仿宋" w:cstheme="minorBidi"/>
      <w:b/>
      <w:color w:val="000000"/>
      <w:szCs w:val="21"/>
    </w:rPr>
  </w:style>
  <w:style w:type="paragraph" w:customStyle="1" w:styleId="361">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ind w:firstLine="200" w:firstLineChars="200"/>
      <w:jc w:val="center"/>
      <w:textAlignment w:val="center"/>
    </w:pPr>
    <w:rPr>
      <w:rFonts w:hint="eastAsia" w:ascii="楷体_GB2312" w:hAnsi="Arial Unicode MS" w:eastAsia="楷体_GB2312"/>
      <w:color w:val="000000"/>
      <w:kern w:val="0"/>
      <w:sz w:val="18"/>
      <w:szCs w:val="20"/>
    </w:rPr>
  </w:style>
  <w:style w:type="paragraph" w:customStyle="1" w:styleId="362">
    <w:name w:val="XN六级标题"/>
    <w:basedOn w:val="1"/>
    <w:link w:val="363"/>
    <w:qFormat/>
    <w:uiPriority w:val="99"/>
    <w:pPr>
      <w:adjustRightInd w:val="0"/>
      <w:spacing w:after="50"/>
      <w:ind w:firstLine="200" w:firstLineChars="200"/>
      <w:jc w:val="left"/>
      <w:outlineLvl w:val="5"/>
    </w:pPr>
    <w:rPr>
      <w:rFonts w:ascii="仿宋" w:hAnsi="仿宋" w:eastAsia="仿宋"/>
      <w:b/>
      <w:color w:val="000000"/>
      <w:sz w:val="24"/>
    </w:rPr>
  </w:style>
  <w:style w:type="character" w:customStyle="1" w:styleId="363">
    <w:name w:val="XN六级标题 Char"/>
    <w:link w:val="362"/>
    <w:qFormat/>
    <w:uiPriority w:val="99"/>
    <w:rPr>
      <w:rFonts w:ascii="仿宋" w:hAnsi="仿宋" w:eastAsia="仿宋" w:cstheme="minorBidi"/>
      <w:b/>
      <w:color w:val="000000"/>
      <w:kern w:val="2"/>
      <w:sz w:val="24"/>
      <w:szCs w:val="24"/>
    </w:rPr>
  </w:style>
  <w:style w:type="paragraph" w:customStyle="1" w:styleId="364">
    <w:name w:val="STL三级"/>
    <w:basedOn w:val="1"/>
    <w:link w:val="365"/>
    <w:qFormat/>
    <w:uiPriority w:val="0"/>
    <w:pPr>
      <w:tabs>
        <w:tab w:val="left" w:pos="142"/>
      </w:tabs>
      <w:spacing w:beforeLines="50" w:afterLines="50"/>
      <w:ind w:firstLine="200" w:firstLineChars="200"/>
      <w:jc w:val="left"/>
      <w:outlineLvl w:val="2"/>
    </w:pPr>
    <w:rPr>
      <w:rFonts w:ascii="仿宋" w:hAnsi="宋体" w:eastAsia="仿宋"/>
      <w:b/>
      <w:color w:val="000000"/>
      <w:sz w:val="32"/>
    </w:rPr>
  </w:style>
  <w:style w:type="character" w:customStyle="1" w:styleId="365">
    <w:name w:val="STL三级 Char"/>
    <w:link w:val="364"/>
    <w:qFormat/>
    <w:uiPriority w:val="0"/>
    <w:rPr>
      <w:rFonts w:ascii="仿宋" w:hAnsi="宋体" w:eastAsia="仿宋" w:cstheme="minorBidi"/>
      <w:b/>
      <w:color w:val="000000"/>
      <w:kern w:val="2"/>
      <w:sz w:val="32"/>
      <w:szCs w:val="24"/>
    </w:rPr>
  </w:style>
  <w:style w:type="paragraph" w:customStyle="1" w:styleId="366">
    <w:name w:val="图标内容"/>
    <w:basedOn w:val="82"/>
    <w:qFormat/>
    <w:uiPriority w:val="0"/>
    <w:pPr>
      <w:spacing w:before="0" w:beforeAutospacing="0" w:after="0" w:afterAutospacing="0"/>
      <w:ind w:firstLine="200" w:firstLineChars="200"/>
      <w:jc w:val="center"/>
    </w:pPr>
    <w:rPr>
      <w:rFonts w:ascii="仿宋" w:eastAsia="仿宋"/>
      <w:color w:val="000000"/>
      <w:sz w:val="21"/>
    </w:rPr>
  </w:style>
  <w:style w:type="paragraph" w:customStyle="1" w:styleId="36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仿宋" w:hAnsi="宋体" w:eastAsia="仿宋" w:cs="宋体"/>
      <w:b/>
      <w:bCs/>
      <w:kern w:val="0"/>
    </w:rPr>
  </w:style>
  <w:style w:type="paragraph" w:customStyle="1" w:styleId="368">
    <w:name w:val="纯文本2"/>
    <w:basedOn w:val="1"/>
    <w:qFormat/>
    <w:uiPriority w:val="0"/>
    <w:pPr>
      <w:adjustRightInd w:val="0"/>
      <w:ind w:firstLine="200" w:firstLineChars="200"/>
      <w:textAlignment w:val="baseline"/>
    </w:pPr>
    <w:rPr>
      <w:rFonts w:ascii="仿宋" w:hAnsi="Courier New" w:eastAsia="仿宋"/>
      <w:szCs w:val="20"/>
    </w:rPr>
  </w:style>
  <w:style w:type="paragraph" w:customStyle="1" w:styleId="36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pPr>
    <w:rPr>
      <w:rFonts w:ascii="仿宋" w:hAnsi="宋体" w:eastAsia="仿宋" w:cs="宋体"/>
      <w:kern w:val="0"/>
    </w:rPr>
  </w:style>
  <w:style w:type="paragraph" w:customStyle="1" w:styleId="370">
    <w:name w:val="aSTL正文"/>
    <w:basedOn w:val="1"/>
    <w:link w:val="371"/>
    <w:qFormat/>
    <w:uiPriority w:val="0"/>
    <w:pPr>
      <w:spacing w:line="300" w:lineRule="auto"/>
      <w:ind w:firstLine="200" w:firstLineChars="200"/>
    </w:pPr>
    <w:rPr>
      <w:rFonts w:ascii="Calibri" w:hAnsi="Calibri"/>
      <w:kern w:val="0"/>
      <w:sz w:val="24"/>
      <w:szCs w:val="20"/>
    </w:rPr>
  </w:style>
  <w:style w:type="character" w:customStyle="1" w:styleId="371">
    <w:name w:val="aSTL正文 Char"/>
    <w:link w:val="370"/>
    <w:qFormat/>
    <w:uiPriority w:val="0"/>
    <w:rPr>
      <w:rFonts w:ascii="Calibri" w:hAnsi="Calibri" w:cstheme="minorBidi"/>
      <w:sz w:val="24"/>
    </w:rPr>
  </w:style>
  <w:style w:type="paragraph" w:customStyle="1" w:styleId="372">
    <w:name w:val="列出段落2"/>
    <w:basedOn w:val="1"/>
    <w:qFormat/>
    <w:uiPriority w:val="34"/>
    <w:pPr>
      <w:ind w:firstLine="420" w:firstLineChars="200"/>
    </w:pPr>
    <w:rPr>
      <w:rFonts w:ascii="Calibri" w:hAnsi="Calibri"/>
    </w:rPr>
  </w:style>
  <w:style w:type="paragraph" w:customStyle="1" w:styleId="373">
    <w:name w:val="pa-1"/>
    <w:basedOn w:val="1"/>
    <w:qFormat/>
    <w:uiPriority w:val="0"/>
    <w:pPr>
      <w:widowControl/>
      <w:spacing w:before="150" w:after="150"/>
      <w:ind w:firstLine="200" w:firstLineChars="200"/>
      <w:jc w:val="left"/>
    </w:pPr>
    <w:rPr>
      <w:rFonts w:ascii="仿宋" w:hAnsi="宋体" w:eastAsia="仿宋" w:cs="宋体"/>
      <w:kern w:val="0"/>
    </w:rPr>
  </w:style>
  <w:style w:type="paragraph" w:customStyle="1" w:styleId="374">
    <w:name w:val="Char Char Char Char Char Char2 Char Char Char Char Char Char Char Char Char Char Char Char Char"/>
    <w:basedOn w:val="1"/>
    <w:qFormat/>
    <w:uiPriority w:val="0"/>
    <w:pPr>
      <w:adjustRightInd w:val="0"/>
      <w:spacing w:line="360" w:lineRule="auto"/>
      <w:ind w:firstLine="200" w:firstLineChars="200"/>
      <w:textAlignment w:val="baseline"/>
    </w:pPr>
    <w:rPr>
      <w:rFonts w:ascii="Tahoma" w:hAnsi="Tahoma" w:eastAsia="仿宋"/>
      <w:sz w:val="28"/>
      <w:szCs w:val="20"/>
    </w:rPr>
  </w:style>
  <w:style w:type="paragraph" w:customStyle="1" w:styleId="375">
    <w:name w:val="font5"/>
    <w:basedOn w:val="1"/>
    <w:qFormat/>
    <w:uiPriority w:val="0"/>
    <w:pPr>
      <w:widowControl/>
      <w:spacing w:before="100" w:beforeAutospacing="1" w:after="100" w:afterAutospacing="1"/>
      <w:ind w:firstLine="200" w:firstLineChars="200"/>
      <w:jc w:val="left"/>
    </w:pPr>
    <w:rPr>
      <w:rFonts w:ascii="仿宋" w:hAnsi="宋体" w:eastAsia="仿宋" w:cs="宋体"/>
      <w:kern w:val="0"/>
      <w:sz w:val="18"/>
      <w:szCs w:val="18"/>
    </w:rPr>
  </w:style>
  <w:style w:type="paragraph" w:customStyle="1" w:styleId="376">
    <w:name w:val="样式 标题 1 + 加粗 段前: 1 行 段后: 0.5 行"/>
    <w:basedOn w:val="5"/>
    <w:qFormat/>
    <w:uiPriority w:val="0"/>
    <w:pPr>
      <w:adjustRightInd w:val="0"/>
      <w:snapToGrid w:val="0"/>
      <w:spacing w:beforeLines="50" w:afterLines="50" w:line="300" w:lineRule="auto"/>
    </w:pPr>
    <w:rPr>
      <w:rFonts w:ascii="黑体" w:eastAsia="仿宋" w:cs="宋体"/>
      <w:b w:val="0"/>
      <w:sz w:val="36"/>
      <w:szCs w:val="32"/>
    </w:rPr>
  </w:style>
  <w:style w:type="paragraph" w:customStyle="1" w:styleId="377">
    <w:name w:val="标题6"/>
    <w:basedOn w:val="1"/>
    <w:next w:val="1"/>
    <w:link w:val="378"/>
    <w:qFormat/>
    <w:uiPriority w:val="0"/>
    <w:pPr>
      <w:adjustRightInd w:val="0"/>
      <w:spacing w:line="300" w:lineRule="auto"/>
      <w:ind w:left="200" w:leftChars="200"/>
    </w:pPr>
    <w:rPr>
      <w:b/>
    </w:rPr>
  </w:style>
  <w:style w:type="character" w:customStyle="1" w:styleId="378">
    <w:name w:val="标题6 Char"/>
    <w:link w:val="377"/>
    <w:qFormat/>
    <w:uiPriority w:val="0"/>
    <w:rPr>
      <w:rFonts w:cstheme="minorBidi"/>
      <w:b/>
      <w:kern w:val="2"/>
      <w:sz w:val="21"/>
      <w:szCs w:val="24"/>
    </w:rPr>
  </w:style>
  <w:style w:type="paragraph" w:customStyle="1" w:styleId="379">
    <w:name w:val="XN二级标题"/>
    <w:basedOn w:val="1"/>
    <w:link w:val="380"/>
    <w:qFormat/>
    <w:uiPriority w:val="0"/>
    <w:pPr>
      <w:spacing w:afterLines="50"/>
      <w:jc w:val="left"/>
      <w:outlineLvl w:val="1"/>
    </w:pPr>
    <w:rPr>
      <w:rFonts w:ascii="仿宋" w:hAnsi="仿宋" w:eastAsia="仿宋"/>
      <w:b/>
      <w:color w:val="000000"/>
      <w:sz w:val="36"/>
    </w:rPr>
  </w:style>
  <w:style w:type="character" w:customStyle="1" w:styleId="380">
    <w:name w:val="XN二级标题 Char"/>
    <w:link w:val="379"/>
    <w:qFormat/>
    <w:uiPriority w:val="0"/>
    <w:rPr>
      <w:rFonts w:ascii="仿宋" w:hAnsi="仿宋" w:eastAsia="仿宋" w:cstheme="minorBidi"/>
      <w:b/>
      <w:color w:val="000000"/>
      <w:kern w:val="2"/>
      <w:sz w:val="36"/>
      <w:szCs w:val="24"/>
    </w:rPr>
  </w:style>
  <w:style w:type="paragraph" w:customStyle="1" w:styleId="381">
    <w:name w:val="STL一级标题"/>
    <w:basedOn w:val="1"/>
    <w:link w:val="382"/>
    <w:qFormat/>
    <w:uiPriority w:val="0"/>
    <w:pPr>
      <w:tabs>
        <w:tab w:val="left" w:pos="142"/>
      </w:tabs>
      <w:spacing w:beforeLines="50" w:afterLines="50"/>
      <w:ind w:firstLine="200" w:firstLineChars="200"/>
      <w:jc w:val="center"/>
      <w:outlineLvl w:val="0"/>
    </w:pPr>
    <w:rPr>
      <w:rFonts w:ascii="仿宋" w:hAnsi="宋体" w:eastAsia="仿宋"/>
      <w:b/>
      <w:color w:val="000000"/>
      <w:sz w:val="44"/>
    </w:rPr>
  </w:style>
  <w:style w:type="character" w:customStyle="1" w:styleId="382">
    <w:name w:val="STL一级标题 Char"/>
    <w:link w:val="381"/>
    <w:qFormat/>
    <w:uiPriority w:val="0"/>
    <w:rPr>
      <w:rFonts w:ascii="仿宋" w:hAnsi="宋体" w:eastAsia="仿宋" w:cstheme="minorBidi"/>
      <w:b/>
      <w:color w:val="000000"/>
      <w:kern w:val="2"/>
      <w:sz w:val="44"/>
      <w:szCs w:val="24"/>
    </w:rPr>
  </w:style>
  <w:style w:type="paragraph" w:customStyle="1" w:styleId="383">
    <w:name w:val="标题 5 + 小四"/>
    <w:basedOn w:val="8"/>
    <w:qFormat/>
    <w:uiPriority w:val="0"/>
    <w:pPr>
      <w:adjustRightInd w:val="0"/>
      <w:snapToGrid w:val="0"/>
      <w:spacing w:before="0" w:line="360" w:lineRule="auto"/>
      <w:ind w:firstLine="480" w:firstLineChars="200"/>
    </w:pPr>
    <w:rPr>
      <w:b w:val="0"/>
      <w:sz w:val="24"/>
    </w:rPr>
  </w:style>
  <w:style w:type="paragraph" w:customStyle="1" w:styleId="384">
    <w:name w:val="55"/>
    <w:basedOn w:val="1"/>
    <w:link w:val="385"/>
    <w:qFormat/>
    <w:uiPriority w:val="0"/>
    <w:pPr>
      <w:spacing w:line="380" w:lineRule="exact"/>
      <w:ind w:firstLine="420" w:firstLineChars="200"/>
    </w:pPr>
    <w:rPr>
      <w:rFonts w:ascii="宋体" w:hAnsi="宋体"/>
      <w:kern w:val="0"/>
      <w:sz w:val="20"/>
      <w:szCs w:val="20"/>
    </w:rPr>
  </w:style>
  <w:style w:type="character" w:customStyle="1" w:styleId="385">
    <w:name w:val="55 Char"/>
    <w:link w:val="384"/>
    <w:qFormat/>
    <w:uiPriority w:val="0"/>
    <w:rPr>
      <w:rFonts w:ascii="宋体" w:hAnsi="宋体" w:cstheme="minorBidi"/>
    </w:rPr>
  </w:style>
  <w:style w:type="paragraph" w:customStyle="1" w:styleId="38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pPr>
    <w:rPr>
      <w:rFonts w:ascii="仿宋" w:hAnsi="宋体" w:eastAsia="仿宋" w:cs="宋体"/>
      <w:kern w:val="0"/>
    </w:rPr>
  </w:style>
  <w:style w:type="paragraph" w:customStyle="1" w:styleId="387">
    <w:name w:val="(1)"/>
    <w:basedOn w:val="1"/>
    <w:link w:val="388"/>
    <w:qFormat/>
    <w:uiPriority w:val="0"/>
    <w:pPr>
      <w:spacing w:line="360" w:lineRule="auto"/>
      <w:ind w:firstLine="420" w:firstLineChars="200"/>
    </w:pPr>
    <w:rPr>
      <w:rFonts w:ascii="仿宋" w:hAnsi="宋体" w:eastAsia="仿宋"/>
      <w:kern w:val="0"/>
      <w:sz w:val="20"/>
      <w:szCs w:val="21"/>
    </w:rPr>
  </w:style>
  <w:style w:type="character" w:customStyle="1" w:styleId="388">
    <w:name w:val="(1) Char"/>
    <w:link w:val="387"/>
    <w:qFormat/>
    <w:uiPriority w:val="0"/>
    <w:rPr>
      <w:rFonts w:ascii="仿宋" w:hAnsi="宋体" w:eastAsia="仿宋" w:cstheme="minorBidi"/>
      <w:szCs w:val="21"/>
    </w:rPr>
  </w:style>
  <w:style w:type="paragraph" w:customStyle="1" w:styleId="389">
    <w:name w:val="msolistparagraph"/>
    <w:basedOn w:val="1"/>
    <w:qFormat/>
    <w:uiPriority w:val="0"/>
    <w:pPr>
      <w:spacing w:line="300" w:lineRule="auto"/>
      <w:ind w:firstLine="420" w:firstLineChars="200"/>
    </w:pPr>
    <w:rPr>
      <w:rFonts w:hAnsi="仿宋" w:eastAsia="仿宋"/>
    </w:rPr>
  </w:style>
  <w:style w:type="paragraph" w:customStyle="1" w:styleId="390">
    <w:name w:val="彩色列表 - 强调文字颜色 11"/>
    <w:basedOn w:val="1"/>
    <w:qFormat/>
    <w:uiPriority w:val="0"/>
    <w:pPr>
      <w:ind w:firstLine="420" w:firstLineChars="200"/>
    </w:pPr>
    <w:rPr>
      <w:rFonts w:ascii="Calibri" w:hAnsi="Calibri" w:eastAsia="仿宋"/>
      <w:szCs w:val="20"/>
    </w:rPr>
  </w:style>
  <w:style w:type="paragraph" w:customStyle="1" w:styleId="391">
    <w:name w:val="四级标题"/>
    <w:basedOn w:val="1"/>
    <w:next w:val="1"/>
    <w:qFormat/>
    <w:uiPriority w:val="0"/>
    <w:pPr>
      <w:adjustRightInd w:val="0"/>
      <w:spacing w:beforeLines="50" w:afterLines="50" w:line="300" w:lineRule="auto"/>
      <w:ind w:firstLine="200" w:firstLineChars="200"/>
      <w:jc w:val="left"/>
    </w:pPr>
    <w:rPr>
      <w:b/>
      <w:color w:val="000000"/>
    </w:rPr>
  </w:style>
  <w:style w:type="paragraph" w:customStyle="1" w:styleId="392">
    <w:name w:val="Default"/>
    <w:qFormat/>
    <w:uiPriority w:val="99"/>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93">
    <w:name w:val="彩色列表 - 强调文字颜色 12"/>
    <w:basedOn w:val="1"/>
    <w:qFormat/>
    <w:uiPriority w:val="34"/>
    <w:pPr>
      <w:widowControl/>
      <w:ind w:firstLine="420" w:firstLineChars="200"/>
      <w:jc w:val="left"/>
    </w:pPr>
    <w:rPr>
      <w:rFonts w:ascii="仿宋" w:hAnsi="宋体" w:eastAsia="仿宋"/>
      <w:kern w:val="0"/>
      <w:szCs w:val="20"/>
    </w:rPr>
  </w:style>
  <w:style w:type="paragraph" w:customStyle="1" w:styleId="394">
    <w:name w:val="列出段落3"/>
    <w:basedOn w:val="1"/>
    <w:qFormat/>
    <w:uiPriority w:val="0"/>
    <w:pPr>
      <w:ind w:firstLine="420" w:firstLineChars="200"/>
    </w:pPr>
    <w:rPr>
      <w:rFonts w:ascii="Calibri" w:hAnsi="Calibri"/>
    </w:rPr>
  </w:style>
  <w:style w:type="paragraph" w:customStyle="1" w:styleId="395">
    <w:name w:val="STL二级"/>
    <w:basedOn w:val="1"/>
    <w:link w:val="396"/>
    <w:qFormat/>
    <w:uiPriority w:val="0"/>
    <w:pPr>
      <w:tabs>
        <w:tab w:val="left" w:pos="142"/>
      </w:tabs>
      <w:spacing w:beforeLines="50" w:afterLines="50"/>
      <w:ind w:firstLine="200" w:firstLineChars="200"/>
      <w:jc w:val="left"/>
      <w:outlineLvl w:val="1"/>
    </w:pPr>
    <w:rPr>
      <w:rFonts w:ascii="仿宋" w:hAnsi="宋体" w:eastAsia="仿宋"/>
      <w:b/>
      <w:color w:val="000000"/>
      <w:sz w:val="36"/>
    </w:rPr>
  </w:style>
  <w:style w:type="character" w:customStyle="1" w:styleId="396">
    <w:name w:val="STL二级 Char"/>
    <w:link w:val="395"/>
    <w:qFormat/>
    <w:uiPriority w:val="0"/>
    <w:rPr>
      <w:rFonts w:ascii="仿宋" w:hAnsi="宋体" w:eastAsia="仿宋" w:cstheme="minorBidi"/>
      <w:b/>
      <w:color w:val="000000"/>
      <w:kern w:val="2"/>
      <w:sz w:val="36"/>
      <w:szCs w:val="24"/>
    </w:rPr>
  </w:style>
  <w:style w:type="paragraph" w:customStyle="1" w:styleId="397">
    <w:name w:val="1)"/>
    <w:basedOn w:val="1"/>
    <w:link w:val="398"/>
    <w:qFormat/>
    <w:uiPriority w:val="0"/>
    <w:pPr>
      <w:spacing w:line="360" w:lineRule="auto"/>
      <w:ind w:firstLine="422" w:firstLineChars="200"/>
    </w:pPr>
    <w:rPr>
      <w:rFonts w:ascii="仿宋" w:hAnsi="宋体" w:eastAsia="仿宋"/>
      <w:b/>
      <w:kern w:val="0"/>
      <w:sz w:val="20"/>
      <w:szCs w:val="21"/>
    </w:rPr>
  </w:style>
  <w:style w:type="character" w:customStyle="1" w:styleId="398">
    <w:name w:val="1) Char"/>
    <w:link w:val="397"/>
    <w:qFormat/>
    <w:uiPriority w:val="0"/>
    <w:rPr>
      <w:rFonts w:ascii="仿宋" w:hAnsi="宋体" w:eastAsia="仿宋" w:cstheme="minorBidi"/>
      <w:b/>
      <w:szCs w:val="21"/>
    </w:rPr>
  </w:style>
  <w:style w:type="paragraph" w:customStyle="1" w:styleId="399">
    <w:name w:val="招股书正文"/>
    <w:basedOn w:val="1"/>
    <w:link w:val="400"/>
    <w:qFormat/>
    <w:uiPriority w:val="0"/>
    <w:pPr>
      <w:snapToGrid w:val="0"/>
      <w:spacing w:line="500" w:lineRule="exact"/>
      <w:ind w:right="-74" w:firstLine="200" w:firstLineChars="200"/>
    </w:pPr>
    <w:rPr>
      <w:rFonts w:hAnsi="宋体"/>
      <w:kern w:val="0"/>
      <w:sz w:val="24"/>
    </w:rPr>
  </w:style>
  <w:style w:type="character" w:customStyle="1" w:styleId="400">
    <w:name w:val="招股书正文 Char"/>
    <w:link w:val="399"/>
    <w:qFormat/>
    <w:locked/>
    <w:uiPriority w:val="0"/>
    <w:rPr>
      <w:rFonts w:hAnsi="宋体" w:cstheme="minorBidi"/>
      <w:sz w:val="24"/>
      <w:szCs w:val="24"/>
    </w:rPr>
  </w:style>
  <w:style w:type="paragraph" w:customStyle="1" w:styleId="401">
    <w:name w:val="图表"/>
    <w:basedOn w:val="1"/>
    <w:link w:val="402"/>
    <w:qFormat/>
    <w:uiPriority w:val="0"/>
    <w:pPr>
      <w:ind w:firstLine="200" w:firstLineChars="200"/>
      <w:jc w:val="center"/>
    </w:pPr>
    <w:rPr>
      <w:rFonts w:ascii="仿宋" w:hAnsi="仿宋" w:eastAsia="仿宋"/>
      <w:b/>
      <w:kern w:val="0"/>
    </w:rPr>
  </w:style>
  <w:style w:type="character" w:customStyle="1" w:styleId="402">
    <w:name w:val="图表 Char"/>
    <w:link w:val="401"/>
    <w:qFormat/>
    <w:uiPriority w:val="0"/>
    <w:rPr>
      <w:rFonts w:ascii="仿宋" w:hAnsi="仿宋" w:eastAsia="仿宋" w:cstheme="minorBidi"/>
      <w:b/>
      <w:sz w:val="21"/>
      <w:szCs w:val="24"/>
    </w:rPr>
  </w:style>
  <w:style w:type="paragraph" w:customStyle="1" w:styleId="40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仿宋" w:hAnsi="宋体" w:eastAsia="仿宋" w:cs="宋体"/>
      <w:b/>
      <w:bCs/>
      <w:kern w:val="0"/>
    </w:rPr>
  </w:style>
  <w:style w:type="paragraph" w:customStyle="1" w:styleId="404">
    <w:name w:val="样式 正文001 + Times New Roman"/>
    <w:basedOn w:val="1"/>
    <w:link w:val="405"/>
    <w:qFormat/>
    <w:uiPriority w:val="0"/>
    <w:pPr>
      <w:spacing w:before="60" w:line="460" w:lineRule="exact"/>
      <w:ind w:firstLine="482" w:firstLineChars="200"/>
    </w:pPr>
    <w:rPr>
      <w:rFonts w:hAnsi="仿宋" w:eastAsia="仿宋"/>
      <w:kern w:val="0"/>
      <w:szCs w:val="20"/>
    </w:rPr>
  </w:style>
  <w:style w:type="character" w:customStyle="1" w:styleId="405">
    <w:name w:val="样式 正文001 + Times New Roman Char"/>
    <w:link w:val="404"/>
    <w:qFormat/>
    <w:uiPriority w:val="0"/>
    <w:rPr>
      <w:rFonts w:hAnsi="仿宋" w:eastAsia="仿宋" w:cstheme="minorBidi"/>
      <w:sz w:val="21"/>
    </w:rPr>
  </w:style>
  <w:style w:type="paragraph" w:customStyle="1" w:styleId="406">
    <w:name w:val="xl65"/>
    <w:basedOn w:val="1"/>
    <w:qFormat/>
    <w:uiPriority w:val="0"/>
    <w:pPr>
      <w:widowControl/>
      <w:spacing w:before="100" w:beforeAutospacing="1" w:after="100" w:afterAutospacing="1"/>
      <w:ind w:firstLine="200" w:firstLineChars="200"/>
      <w:jc w:val="left"/>
    </w:pPr>
    <w:rPr>
      <w:rFonts w:ascii="仿宋" w:hAnsi="宋体" w:eastAsia="仿宋" w:cs="宋体"/>
      <w:b/>
      <w:bCs/>
      <w:kern w:val="0"/>
    </w:rPr>
  </w:style>
  <w:style w:type="paragraph" w:customStyle="1" w:styleId="407">
    <w:name w:val="普通文件"/>
    <w:basedOn w:val="1"/>
    <w:qFormat/>
    <w:uiPriority w:val="0"/>
    <w:pPr>
      <w:ind w:firstLine="200" w:firstLineChars="200"/>
    </w:pPr>
    <w:rPr>
      <w:rFonts w:hAnsi="仿宋" w:eastAsia="仿宋"/>
      <w:color w:val="0000FF"/>
      <w:szCs w:val="20"/>
    </w:rPr>
  </w:style>
  <w:style w:type="paragraph" w:customStyle="1" w:styleId="408">
    <w:name w:val="标题2"/>
    <w:basedOn w:val="6"/>
    <w:next w:val="1"/>
    <w:link w:val="409"/>
    <w:qFormat/>
    <w:uiPriority w:val="0"/>
    <w:pPr>
      <w:spacing w:beforeLines="50" w:afterLines="50" w:line="300" w:lineRule="auto"/>
      <w:jc w:val="left"/>
    </w:pPr>
    <w:rPr>
      <w:rFonts w:ascii="Times New Roman" w:hAnsi="Times New Roman"/>
      <w:sz w:val="28"/>
    </w:rPr>
  </w:style>
  <w:style w:type="character" w:customStyle="1" w:styleId="409">
    <w:name w:val="标题2 Char"/>
    <w:link w:val="408"/>
    <w:qFormat/>
    <w:uiPriority w:val="0"/>
    <w:rPr>
      <w:rFonts w:cstheme="minorBidi"/>
      <w:b/>
      <w:bCs/>
      <w:kern w:val="2"/>
      <w:sz w:val="28"/>
      <w:szCs w:val="32"/>
    </w:rPr>
  </w:style>
  <w:style w:type="paragraph" w:customStyle="1" w:styleId="410">
    <w:name w:val="图片文字"/>
    <w:basedOn w:val="1"/>
    <w:qFormat/>
    <w:uiPriority w:val="0"/>
    <w:pPr>
      <w:ind w:firstLine="200" w:firstLineChars="200"/>
      <w:jc w:val="left"/>
    </w:pPr>
    <w:rPr>
      <w:rFonts w:hAnsi="仿宋" w:eastAsia="仿宋"/>
      <w:sz w:val="18"/>
      <w:szCs w:val="18"/>
    </w:rPr>
  </w:style>
  <w:style w:type="paragraph" w:customStyle="1" w:styleId="411">
    <w:name w:val="表表标题"/>
    <w:basedOn w:val="1"/>
    <w:qFormat/>
    <w:uiPriority w:val="0"/>
    <w:pPr>
      <w:spacing w:beforeLines="50" w:line="300" w:lineRule="auto"/>
      <w:ind w:firstLine="200" w:firstLineChars="200"/>
      <w:jc w:val="center"/>
    </w:pPr>
    <w:rPr>
      <w:rFonts w:hAnsi="仿宋" w:eastAsia="仿宋"/>
      <w:b/>
    </w:rPr>
  </w:style>
  <w:style w:type="paragraph" w:customStyle="1" w:styleId="412">
    <w:name w:val="常规正文"/>
    <w:basedOn w:val="1"/>
    <w:qFormat/>
    <w:uiPriority w:val="0"/>
    <w:pPr>
      <w:spacing w:line="300" w:lineRule="auto"/>
      <w:ind w:firstLine="200" w:firstLineChars="200"/>
    </w:pPr>
    <w:rPr>
      <w:rFonts w:hAnsi="仿宋" w:eastAsia="仿宋"/>
      <w:szCs w:val="20"/>
    </w:rPr>
  </w:style>
  <w:style w:type="paragraph" w:customStyle="1" w:styleId="413">
    <w:name w:val="规划 标题 3条标题1.1.1Char1Char1 规划Char CharChar1 Charh3H3level_3..."/>
    <w:basedOn w:val="7"/>
    <w:qFormat/>
    <w:uiPriority w:val="0"/>
    <w:pPr>
      <w:spacing w:beforeLines="100" w:afterLines="50" w:line="300" w:lineRule="auto"/>
      <w:ind w:firstLine="551" w:firstLineChars="196"/>
      <w:jc w:val="center"/>
    </w:pPr>
    <w:rPr>
      <w:rFonts w:ascii="仿宋" w:hAnsi="宋体" w:eastAsia="仿宋"/>
      <w:sz w:val="28"/>
    </w:rPr>
  </w:style>
  <w:style w:type="paragraph" w:customStyle="1" w:styleId="414">
    <w:name w:val="三级"/>
    <w:basedOn w:val="1"/>
    <w:next w:val="1"/>
    <w:link w:val="415"/>
    <w:qFormat/>
    <w:uiPriority w:val="0"/>
    <w:pPr>
      <w:spacing w:beforeLines="50" w:afterLines="50" w:line="300" w:lineRule="auto"/>
      <w:jc w:val="left"/>
      <w:outlineLvl w:val="3"/>
    </w:pPr>
    <w:rPr>
      <w:b/>
      <w:color w:val="000000"/>
    </w:rPr>
  </w:style>
  <w:style w:type="character" w:customStyle="1" w:styleId="415">
    <w:name w:val="三级 Char"/>
    <w:link w:val="414"/>
    <w:qFormat/>
    <w:uiPriority w:val="0"/>
    <w:rPr>
      <w:rFonts w:cstheme="minorBidi"/>
      <w:b/>
      <w:color w:val="000000"/>
      <w:kern w:val="2"/>
      <w:sz w:val="21"/>
      <w:szCs w:val="24"/>
    </w:rPr>
  </w:style>
  <w:style w:type="paragraph" w:customStyle="1" w:styleId="416">
    <w:name w:val="_Style 1"/>
    <w:basedOn w:val="1"/>
    <w:qFormat/>
    <w:uiPriority w:val="34"/>
    <w:pPr>
      <w:spacing w:line="300" w:lineRule="auto"/>
      <w:ind w:firstLine="420" w:firstLineChars="200"/>
    </w:pPr>
  </w:style>
  <w:style w:type="paragraph" w:customStyle="1" w:styleId="417">
    <w:name w:val="STL表头"/>
    <w:basedOn w:val="24"/>
    <w:link w:val="418"/>
    <w:qFormat/>
    <w:uiPriority w:val="0"/>
    <w:pPr>
      <w:spacing w:beforeLines="20" w:afterLines="50"/>
      <w:ind w:firstLine="200" w:firstLineChars="200"/>
      <w:jc w:val="center"/>
    </w:pPr>
    <w:rPr>
      <w:b/>
      <w:sz w:val="21"/>
    </w:rPr>
  </w:style>
  <w:style w:type="character" w:customStyle="1" w:styleId="418">
    <w:name w:val="STL表头 Char"/>
    <w:link w:val="417"/>
    <w:qFormat/>
    <w:uiPriority w:val="0"/>
    <w:rPr>
      <w:rFonts w:ascii="Cambria" w:hAnsi="Cambria" w:eastAsia="黑体" w:cstheme="minorBidi"/>
      <w:b/>
      <w:kern w:val="2"/>
      <w:sz w:val="21"/>
    </w:rPr>
  </w:style>
  <w:style w:type="paragraph" w:customStyle="1" w:styleId="419">
    <w:name w:val="Char"/>
    <w:basedOn w:val="1"/>
    <w:qFormat/>
    <w:uiPriority w:val="0"/>
    <w:pPr>
      <w:widowControl/>
      <w:spacing w:after="160" w:line="240" w:lineRule="exact"/>
      <w:ind w:firstLine="200" w:firstLineChars="200"/>
      <w:jc w:val="left"/>
    </w:pPr>
    <w:rPr>
      <w:rFonts w:hAnsi="仿宋" w:eastAsia="仿宋_GB2312"/>
      <w:sz w:val="30"/>
      <w:szCs w:val="20"/>
    </w:rPr>
  </w:style>
  <w:style w:type="paragraph" w:customStyle="1" w:styleId="420">
    <w:name w:val="表内容"/>
    <w:basedOn w:val="1"/>
    <w:link w:val="421"/>
    <w:qFormat/>
    <w:uiPriority w:val="0"/>
    <w:pPr>
      <w:adjustRightInd w:val="0"/>
      <w:snapToGrid w:val="0"/>
      <w:ind w:firstLine="200" w:firstLineChars="200"/>
    </w:pPr>
    <w:rPr>
      <w:rFonts w:ascii="仿宋" w:hAnsi="宋体" w:eastAsia="仿宋"/>
      <w:kern w:val="0"/>
      <w:sz w:val="20"/>
      <w:szCs w:val="21"/>
    </w:rPr>
  </w:style>
  <w:style w:type="character" w:customStyle="1" w:styleId="421">
    <w:name w:val="表内容 Char"/>
    <w:link w:val="420"/>
    <w:qFormat/>
    <w:uiPriority w:val="0"/>
    <w:rPr>
      <w:rFonts w:ascii="仿宋" w:hAnsi="宋体" w:eastAsia="仿宋" w:cstheme="minorBidi"/>
      <w:szCs w:val="21"/>
    </w:rPr>
  </w:style>
  <w:style w:type="paragraph" w:customStyle="1" w:styleId="422">
    <w:name w:val="目的"/>
    <w:basedOn w:val="1"/>
    <w:link w:val="423"/>
    <w:qFormat/>
    <w:uiPriority w:val="0"/>
    <w:pPr>
      <w:spacing w:after="240" w:line="300" w:lineRule="auto"/>
      <w:ind w:firstLine="200" w:firstLineChars="200"/>
      <w:jc w:val="center"/>
    </w:pPr>
    <w:rPr>
      <w:rFonts w:hAnsi="仿宋" w:eastAsia="仿宋"/>
      <w:b/>
      <w:kern w:val="0"/>
      <w:sz w:val="20"/>
      <w:szCs w:val="21"/>
    </w:rPr>
  </w:style>
  <w:style w:type="character" w:customStyle="1" w:styleId="423">
    <w:name w:val="目的 Char"/>
    <w:link w:val="422"/>
    <w:qFormat/>
    <w:locked/>
    <w:uiPriority w:val="0"/>
    <w:rPr>
      <w:rFonts w:hAnsi="仿宋" w:eastAsia="仿宋" w:cstheme="minorBidi"/>
      <w:b/>
      <w:szCs w:val="21"/>
    </w:rPr>
  </w:style>
  <w:style w:type="paragraph" w:customStyle="1" w:styleId="424">
    <w:name w:val="4.1.1.1"/>
    <w:basedOn w:val="3"/>
    <w:link w:val="425"/>
    <w:qFormat/>
    <w:uiPriority w:val="0"/>
    <w:pPr>
      <w:autoSpaceDE/>
      <w:autoSpaceDN/>
      <w:adjustRightInd/>
      <w:spacing w:line="360" w:lineRule="auto"/>
      <w:ind w:firstLine="0" w:firstLineChars="200"/>
    </w:pPr>
    <w:rPr>
      <w:rFonts w:ascii="仿宋" w:hAnsi="宋体" w:eastAsia="仿宋"/>
      <w:b/>
    </w:rPr>
  </w:style>
  <w:style w:type="character" w:customStyle="1" w:styleId="425">
    <w:name w:val="4.1.1.1 Char"/>
    <w:link w:val="424"/>
    <w:qFormat/>
    <w:uiPriority w:val="0"/>
    <w:rPr>
      <w:rFonts w:ascii="仿宋" w:hAnsi="宋体" w:eastAsia="仿宋" w:cstheme="minorBidi"/>
      <w:b/>
      <w:sz w:val="24"/>
      <w:szCs w:val="24"/>
    </w:rPr>
  </w:style>
  <w:style w:type="paragraph" w:customStyle="1" w:styleId="426">
    <w:name w:val="表名"/>
    <w:basedOn w:val="1"/>
    <w:link w:val="427"/>
    <w:qFormat/>
    <w:uiPriority w:val="0"/>
    <w:pPr>
      <w:adjustRightInd w:val="0"/>
      <w:snapToGrid w:val="0"/>
      <w:ind w:firstLine="200" w:firstLineChars="200"/>
      <w:jc w:val="center"/>
    </w:pPr>
    <w:rPr>
      <w:rFonts w:ascii="仿宋" w:hAnsi="宋体" w:eastAsia="仿宋"/>
      <w:b/>
      <w:kern w:val="0"/>
      <w:sz w:val="20"/>
      <w:szCs w:val="21"/>
    </w:rPr>
  </w:style>
  <w:style w:type="character" w:customStyle="1" w:styleId="427">
    <w:name w:val="表名 Char"/>
    <w:link w:val="426"/>
    <w:qFormat/>
    <w:uiPriority w:val="0"/>
    <w:rPr>
      <w:rFonts w:ascii="仿宋" w:hAnsi="宋体" w:eastAsia="仿宋" w:cstheme="minorBidi"/>
      <w:b/>
      <w:szCs w:val="21"/>
    </w:rPr>
  </w:style>
  <w:style w:type="paragraph" w:customStyle="1" w:styleId="428">
    <w:name w:val="Char Char Char1 Char"/>
    <w:basedOn w:val="1"/>
    <w:qFormat/>
    <w:uiPriority w:val="0"/>
    <w:pPr>
      <w:ind w:firstLine="200" w:firstLineChars="200"/>
    </w:pPr>
    <w:rPr>
      <w:rFonts w:ascii="Tahoma" w:hAnsi="Tahoma" w:eastAsia="仿宋"/>
      <w:szCs w:val="20"/>
    </w:rPr>
  </w:style>
  <w:style w:type="paragraph" w:customStyle="1" w:styleId="429">
    <w:name w:val="表头"/>
    <w:basedOn w:val="1"/>
    <w:link w:val="430"/>
    <w:qFormat/>
    <w:uiPriority w:val="0"/>
    <w:pPr>
      <w:adjustRightInd w:val="0"/>
      <w:snapToGrid w:val="0"/>
      <w:ind w:firstLine="200" w:firstLineChars="200"/>
      <w:jc w:val="center"/>
    </w:pPr>
    <w:rPr>
      <w:rFonts w:ascii="仿宋" w:hAnsi="宋体" w:eastAsia="仿宋"/>
      <w:b/>
      <w:kern w:val="0"/>
      <w:sz w:val="20"/>
      <w:szCs w:val="21"/>
    </w:rPr>
  </w:style>
  <w:style w:type="character" w:customStyle="1" w:styleId="430">
    <w:name w:val="表头 Char"/>
    <w:link w:val="429"/>
    <w:qFormat/>
    <w:uiPriority w:val="0"/>
    <w:rPr>
      <w:rFonts w:ascii="仿宋" w:hAnsi="宋体" w:eastAsia="仿宋" w:cstheme="minorBidi"/>
      <w:b/>
      <w:szCs w:val="21"/>
    </w:rPr>
  </w:style>
  <w:style w:type="paragraph" w:customStyle="1" w:styleId="431">
    <w:name w:val="项目符号"/>
    <w:basedOn w:val="1"/>
    <w:qFormat/>
    <w:uiPriority w:val="0"/>
    <w:pPr>
      <w:tabs>
        <w:tab w:val="left" w:pos="0"/>
      </w:tabs>
      <w:spacing w:line="300" w:lineRule="auto"/>
      <w:ind w:firstLine="454" w:firstLineChars="200"/>
    </w:pPr>
    <w:rPr>
      <w:rFonts w:hAnsi="仿宋" w:eastAsia="仿宋"/>
    </w:rPr>
  </w:style>
  <w:style w:type="paragraph" w:customStyle="1" w:styleId="432">
    <w:name w:val="XN三级标题"/>
    <w:basedOn w:val="1"/>
    <w:link w:val="433"/>
    <w:qFormat/>
    <w:uiPriority w:val="0"/>
    <w:pPr>
      <w:spacing w:afterLines="50"/>
      <w:jc w:val="left"/>
      <w:outlineLvl w:val="2"/>
    </w:pPr>
    <w:rPr>
      <w:rFonts w:ascii="仿宋" w:hAnsi="仿宋" w:eastAsia="仿宋"/>
      <w:b/>
      <w:color w:val="000000"/>
      <w:sz w:val="30"/>
    </w:rPr>
  </w:style>
  <w:style w:type="character" w:customStyle="1" w:styleId="433">
    <w:name w:val="XN三级标题 Char"/>
    <w:link w:val="432"/>
    <w:qFormat/>
    <w:locked/>
    <w:uiPriority w:val="0"/>
    <w:rPr>
      <w:rFonts w:ascii="仿宋" w:hAnsi="仿宋" w:eastAsia="仿宋" w:cstheme="minorBidi"/>
      <w:b/>
      <w:color w:val="000000"/>
      <w:kern w:val="2"/>
      <w:sz w:val="30"/>
      <w:szCs w:val="24"/>
    </w:rPr>
  </w:style>
  <w:style w:type="paragraph" w:customStyle="1" w:styleId="434">
    <w:name w:val="表格内"/>
    <w:basedOn w:val="1"/>
    <w:link w:val="435"/>
    <w:qFormat/>
    <w:uiPriority w:val="0"/>
    <w:pPr>
      <w:widowControl/>
      <w:adjustRightInd w:val="0"/>
      <w:snapToGrid w:val="0"/>
      <w:spacing w:line="400" w:lineRule="exact"/>
      <w:ind w:firstLine="200" w:firstLineChars="200"/>
    </w:pPr>
    <w:rPr>
      <w:rFonts w:ascii="仿宋" w:hAnsi="宋体" w:eastAsia="仿宋"/>
      <w:kern w:val="0"/>
      <w:sz w:val="20"/>
      <w:szCs w:val="21"/>
    </w:rPr>
  </w:style>
  <w:style w:type="character" w:customStyle="1" w:styleId="435">
    <w:name w:val="表格内 Char"/>
    <w:link w:val="434"/>
    <w:qFormat/>
    <w:uiPriority w:val="0"/>
    <w:rPr>
      <w:rFonts w:ascii="仿宋" w:hAnsi="宋体" w:eastAsia="仿宋" w:cstheme="minorBidi"/>
      <w:szCs w:val="21"/>
    </w:rPr>
  </w:style>
  <w:style w:type="paragraph" w:customStyle="1" w:styleId="436">
    <w:name w:val="一级标题"/>
    <w:basedOn w:val="1"/>
    <w:qFormat/>
    <w:uiPriority w:val="0"/>
    <w:pPr>
      <w:spacing w:beforeLines="50" w:afterLines="50" w:line="300" w:lineRule="auto"/>
      <w:jc w:val="center"/>
      <w:outlineLvl w:val="0"/>
    </w:pPr>
    <w:rPr>
      <w:b/>
      <w:color w:val="000000"/>
      <w:sz w:val="44"/>
    </w:rPr>
  </w:style>
  <w:style w:type="paragraph" w:customStyle="1" w:styleId="437">
    <w:name w:val="正文文本 (2)"/>
    <w:basedOn w:val="1"/>
    <w:link w:val="438"/>
    <w:qFormat/>
    <w:uiPriority w:val="0"/>
    <w:pPr>
      <w:shd w:val="clear" w:color="auto" w:fill="FFFFFF"/>
      <w:spacing w:after="120" w:line="240" w:lineRule="atLeast"/>
      <w:ind w:hanging="500"/>
      <w:jc w:val="left"/>
    </w:pPr>
    <w:rPr>
      <w:rFonts w:ascii="Arial Unicode MS" w:eastAsia="Arial Unicode MS"/>
      <w:kern w:val="0"/>
      <w:sz w:val="27"/>
      <w:szCs w:val="27"/>
      <w:shd w:val="clear" w:color="auto" w:fill="FFFFFF"/>
    </w:rPr>
  </w:style>
  <w:style w:type="character" w:customStyle="1" w:styleId="438">
    <w:name w:val="正文文本 (2)_"/>
    <w:link w:val="437"/>
    <w:qFormat/>
    <w:uiPriority w:val="0"/>
    <w:rPr>
      <w:rFonts w:ascii="Arial Unicode MS" w:eastAsia="Arial Unicode MS" w:cstheme="minorBidi"/>
      <w:sz w:val="27"/>
      <w:szCs w:val="27"/>
      <w:shd w:val="clear" w:color="auto" w:fill="FFFFFF"/>
    </w:rPr>
  </w:style>
  <w:style w:type="paragraph" w:customStyle="1" w:styleId="439">
    <w:name w:val="YL表头"/>
    <w:basedOn w:val="24"/>
    <w:link w:val="440"/>
    <w:qFormat/>
    <w:uiPriority w:val="0"/>
    <w:pPr>
      <w:spacing w:beforeLines="30" w:afterLines="20"/>
      <w:jc w:val="center"/>
    </w:pPr>
    <w:rPr>
      <w:rFonts w:eastAsia="宋体"/>
      <w:b/>
      <w:sz w:val="21"/>
    </w:rPr>
  </w:style>
  <w:style w:type="character" w:customStyle="1" w:styleId="440">
    <w:name w:val="YL表头 Char"/>
    <w:link w:val="439"/>
    <w:qFormat/>
    <w:locked/>
    <w:uiPriority w:val="0"/>
    <w:rPr>
      <w:rFonts w:ascii="Cambria" w:hAnsi="Cambria" w:cstheme="minorBidi"/>
      <w:b/>
      <w:kern w:val="2"/>
      <w:sz w:val="21"/>
    </w:rPr>
  </w:style>
  <w:style w:type="paragraph" w:customStyle="1" w:styleId="441">
    <w:name w:val="段"/>
    <w:link w:val="442"/>
    <w:qFormat/>
    <w:uiPriority w:val="0"/>
    <w:pPr>
      <w:tabs>
        <w:tab w:val="center" w:pos="4201"/>
        <w:tab w:val="right" w:leader="dot" w:pos="9298"/>
      </w:tabs>
      <w:autoSpaceDE w:val="0"/>
      <w:autoSpaceDN w:val="0"/>
      <w:ind w:firstLine="420" w:firstLineChars="200"/>
    </w:pPr>
    <w:rPr>
      <w:rFonts w:ascii="宋体" w:hAnsi="Times New Roman" w:eastAsia="宋体" w:cs="Times New Roman"/>
      <w:kern w:val="2"/>
      <w:sz w:val="22"/>
      <w:szCs w:val="22"/>
      <w:lang w:val="en-US" w:eastAsia="zh-CN" w:bidi="ar-SA"/>
    </w:rPr>
  </w:style>
  <w:style w:type="character" w:customStyle="1" w:styleId="442">
    <w:name w:val="段 Char"/>
    <w:link w:val="441"/>
    <w:qFormat/>
    <w:locked/>
    <w:uiPriority w:val="0"/>
    <w:rPr>
      <w:rFonts w:ascii="宋体"/>
      <w:kern w:val="2"/>
      <w:sz w:val="22"/>
      <w:szCs w:val="22"/>
    </w:rPr>
  </w:style>
  <w:style w:type="paragraph" w:customStyle="1" w:styleId="443">
    <w:name w:val="YL图内容"/>
    <w:basedOn w:val="1"/>
    <w:link w:val="444"/>
    <w:qFormat/>
    <w:uiPriority w:val="99"/>
    <w:pPr>
      <w:spacing w:line="264" w:lineRule="auto"/>
      <w:jc w:val="center"/>
    </w:pPr>
    <w:rPr>
      <w:rFonts w:ascii="仿宋" w:hAnsi="仿宋"/>
      <w:color w:val="000000"/>
      <w:sz w:val="24"/>
    </w:rPr>
  </w:style>
  <w:style w:type="character" w:customStyle="1" w:styleId="444">
    <w:name w:val="YL图内容 Char"/>
    <w:link w:val="443"/>
    <w:qFormat/>
    <w:locked/>
    <w:uiPriority w:val="99"/>
    <w:rPr>
      <w:rFonts w:ascii="仿宋" w:hAnsi="仿宋" w:cstheme="minorBidi"/>
      <w:color w:val="000000"/>
      <w:kern w:val="2"/>
      <w:sz w:val="24"/>
      <w:szCs w:val="24"/>
    </w:rPr>
  </w:style>
  <w:style w:type="paragraph" w:customStyle="1" w:styleId="445">
    <w:name w:val="YL六级"/>
    <w:basedOn w:val="1"/>
    <w:link w:val="446"/>
    <w:qFormat/>
    <w:uiPriority w:val="0"/>
    <w:pPr>
      <w:adjustRightInd w:val="0"/>
      <w:spacing w:beforeLines="50" w:afterLines="50"/>
      <w:ind w:firstLine="200" w:firstLineChars="200"/>
      <w:jc w:val="left"/>
      <w:outlineLvl w:val="5"/>
    </w:pPr>
    <w:rPr>
      <w:rFonts w:ascii="仿宋" w:hAnsi="仿宋"/>
      <w:b/>
      <w:color w:val="000000"/>
      <w:sz w:val="24"/>
    </w:rPr>
  </w:style>
  <w:style w:type="character" w:customStyle="1" w:styleId="446">
    <w:name w:val="YL六级 Char"/>
    <w:link w:val="445"/>
    <w:qFormat/>
    <w:locked/>
    <w:uiPriority w:val="0"/>
    <w:rPr>
      <w:rFonts w:ascii="仿宋" w:hAnsi="仿宋" w:cstheme="minorBidi"/>
      <w:b/>
      <w:color w:val="000000"/>
      <w:kern w:val="2"/>
      <w:sz w:val="24"/>
      <w:szCs w:val="24"/>
    </w:rPr>
  </w:style>
  <w:style w:type="paragraph" w:customStyle="1" w:styleId="447">
    <w:name w:val="YL正文"/>
    <w:basedOn w:val="1"/>
    <w:link w:val="448"/>
    <w:qFormat/>
    <w:uiPriority w:val="0"/>
    <w:pPr>
      <w:spacing w:line="300" w:lineRule="auto"/>
      <w:ind w:firstLine="200" w:firstLineChars="200"/>
    </w:pPr>
    <w:rPr>
      <w:rFonts w:ascii="仿宋" w:hAnsi="仿宋"/>
      <w:color w:val="000000"/>
      <w:sz w:val="24"/>
    </w:rPr>
  </w:style>
  <w:style w:type="character" w:customStyle="1" w:styleId="448">
    <w:name w:val="YL正文 Char"/>
    <w:link w:val="447"/>
    <w:qFormat/>
    <w:locked/>
    <w:uiPriority w:val="0"/>
    <w:rPr>
      <w:rFonts w:ascii="仿宋" w:hAnsi="仿宋" w:cstheme="minorBidi"/>
      <w:color w:val="000000"/>
      <w:kern w:val="2"/>
      <w:sz w:val="24"/>
      <w:szCs w:val="24"/>
    </w:rPr>
  </w:style>
  <w:style w:type="paragraph" w:customStyle="1" w:styleId="449">
    <w:name w:val="YL五级"/>
    <w:basedOn w:val="1"/>
    <w:link w:val="450"/>
    <w:qFormat/>
    <w:uiPriority w:val="99"/>
    <w:pPr>
      <w:adjustRightInd w:val="0"/>
      <w:spacing w:beforeLines="50" w:afterLines="50"/>
      <w:ind w:firstLine="200" w:firstLineChars="200"/>
      <w:jc w:val="left"/>
      <w:outlineLvl w:val="4"/>
    </w:pPr>
    <w:rPr>
      <w:rFonts w:ascii="仿宋" w:hAnsi="仿宋"/>
      <w:b/>
      <w:color w:val="000000"/>
      <w:sz w:val="24"/>
    </w:rPr>
  </w:style>
  <w:style w:type="character" w:customStyle="1" w:styleId="450">
    <w:name w:val="YL五级 Char"/>
    <w:link w:val="449"/>
    <w:qFormat/>
    <w:locked/>
    <w:uiPriority w:val="99"/>
    <w:rPr>
      <w:rFonts w:ascii="仿宋" w:hAnsi="仿宋" w:cstheme="minorBidi"/>
      <w:b/>
      <w:color w:val="000000"/>
      <w:kern w:val="2"/>
      <w:sz w:val="24"/>
      <w:szCs w:val="24"/>
    </w:rPr>
  </w:style>
  <w:style w:type="paragraph" w:customStyle="1" w:styleId="451">
    <w:name w:val="Char Char Char Char Char Char Char Char Char"/>
    <w:basedOn w:val="1"/>
    <w:qFormat/>
    <w:uiPriority w:val="0"/>
    <w:pPr>
      <w:widowControl/>
      <w:spacing w:after="160" w:line="240" w:lineRule="exact"/>
      <w:ind w:firstLine="200" w:firstLineChars="200"/>
      <w:jc w:val="left"/>
    </w:pPr>
    <w:rPr>
      <w:rFonts w:ascii="Verdana" w:hAnsi="Verdana" w:eastAsia="仿宋_GB2312"/>
      <w:kern w:val="0"/>
      <w:szCs w:val="20"/>
      <w:lang w:eastAsia="en-US"/>
    </w:rPr>
  </w:style>
  <w:style w:type="paragraph" w:customStyle="1" w:styleId="452">
    <w:name w:val="Char Char Char Char Char Char Char"/>
    <w:basedOn w:val="1"/>
    <w:qFormat/>
    <w:uiPriority w:val="0"/>
    <w:pPr>
      <w:ind w:firstLine="200" w:firstLineChars="200"/>
    </w:pPr>
    <w:rPr>
      <w:rFonts w:hAnsi="仿宋" w:eastAsia="仿宋"/>
      <w:szCs w:val="20"/>
    </w:rPr>
  </w:style>
  <w:style w:type="paragraph" w:customStyle="1" w:styleId="453">
    <w:name w:val="样式（正文）"/>
    <w:basedOn w:val="1"/>
    <w:link w:val="454"/>
    <w:qFormat/>
    <w:uiPriority w:val="0"/>
    <w:pPr>
      <w:widowControl/>
      <w:spacing w:line="300" w:lineRule="auto"/>
      <w:ind w:firstLine="224" w:firstLineChars="224"/>
    </w:pPr>
    <w:rPr>
      <w:rFonts w:ascii="Calibri" w:hAnsi="Calibri" w:eastAsia="仿宋"/>
    </w:rPr>
  </w:style>
  <w:style w:type="character" w:customStyle="1" w:styleId="454">
    <w:name w:val="样式（正文） Char"/>
    <w:link w:val="453"/>
    <w:qFormat/>
    <w:uiPriority w:val="0"/>
    <w:rPr>
      <w:rFonts w:ascii="Calibri" w:hAnsi="Calibri" w:eastAsia="仿宋" w:cstheme="minorBidi"/>
      <w:kern w:val="2"/>
      <w:sz w:val="21"/>
      <w:szCs w:val="24"/>
    </w:rPr>
  </w:style>
  <w:style w:type="paragraph" w:customStyle="1" w:styleId="455">
    <w:name w:val="样式 宋体 小五 加粗 白色 居中 首行缩进:  2 字符"/>
    <w:basedOn w:val="1"/>
    <w:qFormat/>
    <w:uiPriority w:val="0"/>
    <w:pPr>
      <w:spacing w:line="300" w:lineRule="auto"/>
      <w:ind w:firstLine="200" w:firstLineChars="200"/>
      <w:jc w:val="center"/>
    </w:pPr>
    <w:rPr>
      <w:rFonts w:ascii="仿宋" w:hAnsi="宋体" w:eastAsia="仿宋" w:cs="宋体"/>
      <w:b/>
      <w:bCs/>
      <w:color w:val="FFFFFF"/>
      <w:sz w:val="18"/>
      <w:szCs w:val="20"/>
    </w:rPr>
  </w:style>
  <w:style w:type="paragraph" w:customStyle="1" w:styleId="456">
    <w:name w:val="二级条标题"/>
    <w:basedOn w:val="1"/>
    <w:next w:val="441"/>
    <w:qFormat/>
    <w:uiPriority w:val="0"/>
    <w:pPr>
      <w:widowControl/>
      <w:spacing w:beforeLines="50" w:afterLines="50"/>
      <w:jc w:val="left"/>
      <w:outlineLvl w:val="3"/>
    </w:pPr>
    <w:rPr>
      <w:rFonts w:ascii="黑体" w:eastAsia="黑体"/>
      <w:kern w:val="0"/>
      <w:szCs w:val="21"/>
    </w:rPr>
  </w:style>
  <w:style w:type="paragraph" w:customStyle="1" w:styleId="457">
    <w:name w:val="TOC Heading1"/>
    <w:basedOn w:val="5"/>
    <w:next w:val="1"/>
    <w:qFormat/>
    <w:uiPriority w:val="39"/>
    <w:pPr>
      <w:keepNext w:val="0"/>
      <w:widowControl/>
      <w:spacing w:before="480" w:after="540" w:line="276" w:lineRule="auto"/>
      <w:jc w:val="left"/>
      <w:outlineLvl w:val="9"/>
    </w:pPr>
    <w:rPr>
      <w:rFonts w:ascii="Cambria" w:hAnsi="Cambria" w:eastAsia="仿宋"/>
      <w:color w:val="365F91"/>
      <w:kern w:val="0"/>
      <w:szCs w:val="28"/>
    </w:rPr>
  </w:style>
  <w:style w:type="paragraph" w:customStyle="1" w:styleId="458">
    <w:name w:val="一级条标题"/>
    <w:next w:val="441"/>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459">
    <w:name w:val="样式 标题4 + 四号 左侧:  2 字符 首行缩进:  2 字符1"/>
    <w:basedOn w:val="1"/>
    <w:qFormat/>
    <w:uiPriority w:val="0"/>
    <w:pPr>
      <w:spacing w:line="300" w:lineRule="auto"/>
      <w:ind w:left="200" w:leftChars="200" w:firstLine="562" w:firstLineChars="200"/>
      <w:jc w:val="left"/>
    </w:pPr>
    <w:rPr>
      <w:rFonts w:eastAsia="仿宋" w:cs="宋体"/>
      <w:b/>
      <w:bCs/>
      <w:color w:val="000000"/>
      <w:szCs w:val="20"/>
    </w:rPr>
  </w:style>
  <w:style w:type="paragraph" w:customStyle="1" w:styleId="460">
    <w:name w:val="样式 标题 1 + 首行缩进:  2 字符"/>
    <w:basedOn w:val="5"/>
    <w:qFormat/>
    <w:uiPriority w:val="0"/>
    <w:pPr>
      <w:keepNext w:val="0"/>
      <w:widowControl/>
      <w:snapToGrid w:val="0"/>
      <w:spacing w:beforeLines="50" w:beforeAutospacing="1" w:afterLines="150" w:afterAutospacing="1" w:line="276" w:lineRule="auto"/>
      <w:ind w:firstLine="200" w:firstLineChars="200"/>
      <w:jc w:val="left"/>
    </w:pPr>
    <w:rPr>
      <w:rFonts w:ascii="Arial" w:hAnsi="Arial" w:eastAsia="仿宋"/>
      <w:color w:val="000000"/>
      <w:kern w:val="0"/>
      <w:sz w:val="32"/>
      <w:szCs w:val="20"/>
    </w:rPr>
  </w:style>
  <w:style w:type="paragraph" w:customStyle="1" w:styleId="461">
    <w:name w:val="样式 标题 2 + 段前: 7.8 磅"/>
    <w:basedOn w:val="6"/>
    <w:qFormat/>
    <w:uiPriority w:val="0"/>
    <w:pPr>
      <w:spacing w:beforeLines="50" w:after="0" w:line="300" w:lineRule="auto"/>
      <w:ind w:firstLine="200" w:firstLineChars="200"/>
    </w:pPr>
    <w:rPr>
      <w:rFonts w:eastAsia="仿宋" w:cs="宋体"/>
      <w:bCs w:val="0"/>
      <w:color w:val="000000"/>
      <w:sz w:val="24"/>
      <w:szCs w:val="20"/>
    </w:rPr>
  </w:style>
  <w:style w:type="paragraph" w:customStyle="1" w:styleId="46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63">
    <w:name w:val="wenzhang"/>
    <w:basedOn w:val="1"/>
    <w:link w:val="464"/>
    <w:qFormat/>
    <w:uiPriority w:val="0"/>
    <w:pPr>
      <w:widowControl/>
      <w:spacing w:before="30" w:after="30" w:line="450" w:lineRule="atLeast"/>
      <w:ind w:left="15" w:right="15" w:firstLine="200" w:firstLineChars="200"/>
      <w:jc w:val="left"/>
    </w:pPr>
    <w:rPr>
      <w:rFonts w:ascii="宋体" w:hAnsi="宋体"/>
      <w:kern w:val="0"/>
      <w:sz w:val="18"/>
      <w:szCs w:val="20"/>
    </w:rPr>
  </w:style>
  <w:style w:type="character" w:customStyle="1" w:styleId="464">
    <w:name w:val="wenzhang Char"/>
    <w:link w:val="463"/>
    <w:qFormat/>
    <w:uiPriority w:val="0"/>
    <w:rPr>
      <w:rFonts w:ascii="宋体" w:hAnsi="宋体" w:cstheme="minorBidi"/>
      <w:sz w:val="18"/>
    </w:rPr>
  </w:style>
  <w:style w:type="paragraph" w:customStyle="1" w:styleId="465">
    <w:name w:val="二级标题"/>
    <w:basedOn w:val="1"/>
    <w:next w:val="1"/>
    <w:qFormat/>
    <w:uiPriority w:val="0"/>
    <w:pPr>
      <w:spacing w:beforeLines="50" w:afterLines="50" w:line="300" w:lineRule="auto"/>
      <w:jc w:val="left"/>
      <w:outlineLvl w:val="1"/>
    </w:pPr>
    <w:rPr>
      <w:b/>
      <w:color w:val="000000"/>
      <w:sz w:val="28"/>
    </w:rPr>
  </w:style>
  <w:style w:type="paragraph" w:customStyle="1" w:styleId="466">
    <w:name w:val="XN四级标题"/>
    <w:basedOn w:val="1"/>
    <w:link w:val="467"/>
    <w:qFormat/>
    <w:uiPriority w:val="0"/>
    <w:pPr>
      <w:spacing w:afterLines="50"/>
      <w:jc w:val="left"/>
      <w:outlineLvl w:val="3"/>
    </w:pPr>
    <w:rPr>
      <w:rFonts w:ascii="仿宋" w:hAnsi="仿宋" w:eastAsia="仿宋"/>
      <w:b/>
      <w:color w:val="000000"/>
      <w:sz w:val="28"/>
    </w:rPr>
  </w:style>
  <w:style w:type="character" w:customStyle="1" w:styleId="467">
    <w:name w:val="XN四级标题 Char"/>
    <w:link w:val="466"/>
    <w:qFormat/>
    <w:uiPriority w:val="0"/>
    <w:rPr>
      <w:rFonts w:ascii="仿宋" w:hAnsi="仿宋" w:eastAsia="仿宋" w:cstheme="minorBidi"/>
      <w:b/>
      <w:color w:val="000000"/>
      <w:kern w:val="2"/>
      <w:sz w:val="28"/>
      <w:szCs w:val="24"/>
    </w:rPr>
  </w:style>
  <w:style w:type="paragraph" w:customStyle="1" w:styleId="468">
    <w:name w:val="TOC 标题21"/>
    <w:basedOn w:val="5"/>
    <w:next w:val="1"/>
    <w:qFormat/>
    <w:uiPriority w:val="39"/>
    <w:pPr>
      <w:keepNext w:val="0"/>
      <w:widowControl/>
      <w:spacing w:beforeLines="50" w:afterLines="150" w:line="276" w:lineRule="auto"/>
      <w:ind w:firstLine="200" w:firstLineChars="200"/>
      <w:jc w:val="left"/>
      <w:outlineLvl w:val="9"/>
    </w:pPr>
    <w:rPr>
      <w:rFonts w:ascii="Cambria" w:hAnsi="Cambria" w:eastAsia="仿宋"/>
      <w:color w:val="365F91"/>
      <w:kern w:val="0"/>
      <w:szCs w:val="28"/>
    </w:rPr>
  </w:style>
  <w:style w:type="paragraph" w:customStyle="1" w:styleId="469">
    <w:name w:val="XN正文"/>
    <w:basedOn w:val="1"/>
    <w:link w:val="470"/>
    <w:qFormat/>
    <w:uiPriority w:val="99"/>
    <w:pPr>
      <w:spacing w:line="300" w:lineRule="auto"/>
      <w:ind w:firstLine="200" w:firstLineChars="200"/>
    </w:pPr>
    <w:rPr>
      <w:rFonts w:ascii="仿宋" w:hAnsi="仿宋" w:eastAsia="仿宋"/>
      <w:color w:val="000000"/>
      <w:sz w:val="24"/>
    </w:rPr>
  </w:style>
  <w:style w:type="character" w:customStyle="1" w:styleId="470">
    <w:name w:val="XN正文 Char"/>
    <w:link w:val="469"/>
    <w:qFormat/>
    <w:uiPriority w:val="99"/>
    <w:rPr>
      <w:rFonts w:ascii="仿宋" w:hAnsi="仿宋" w:eastAsia="仿宋" w:cstheme="minorBidi"/>
      <w:color w:val="000000"/>
      <w:kern w:val="2"/>
      <w:sz w:val="24"/>
      <w:szCs w:val="24"/>
    </w:rPr>
  </w:style>
  <w:style w:type="paragraph" w:customStyle="1" w:styleId="471">
    <w:name w:val="XN一级标题"/>
    <w:basedOn w:val="1"/>
    <w:link w:val="472"/>
    <w:qFormat/>
    <w:uiPriority w:val="0"/>
    <w:pPr>
      <w:adjustRightInd w:val="0"/>
      <w:spacing w:afterLines="50"/>
      <w:jc w:val="center"/>
      <w:outlineLvl w:val="0"/>
    </w:pPr>
    <w:rPr>
      <w:rFonts w:ascii="仿宋" w:hAnsi="仿宋" w:eastAsia="仿宋"/>
      <w:b/>
      <w:color w:val="000000"/>
      <w:sz w:val="44"/>
    </w:rPr>
  </w:style>
  <w:style w:type="character" w:customStyle="1" w:styleId="472">
    <w:name w:val="XN一级标题 Char"/>
    <w:link w:val="471"/>
    <w:qFormat/>
    <w:uiPriority w:val="0"/>
    <w:rPr>
      <w:rFonts w:ascii="仿宋" w:hAnsi="仿宋" w:eastAsia="仿宋" w:cstheme="minorBidi"/>
      <w:b/>
      <w:color w:val="000000"/>
      <w:kern w:val="2"/>
      <w:sz w:val="44"/>
      <w:szCs w:val="24"/>
    </w:rPr>
  </w:style>
  <w:style w:type="paragraph" w:customStyle="1" w:styleId="473">
    <w:name w:val="标题3"/>
    <w:basedOn w:val="1"/>
    <w:qFormat/>
    <w:uiPriority w:val="0"/>
    <w:pPr>
      <w:adjustRightInd w:val="0"/>
      <w:spacing w:beforeLines="50" w:afterLines="50" w:line="300" w:lineRule="auto"/>
      <w:jc w:val="left"/>
      <w:outlineLvl w:val="2"/>
    </w:pPr>
    <w:rPr>
      <w:b/>
    </w:rPr>
  </w:style>
  <w:style w:type="paragraph" w:customStyle="1" w:styleId="474">
    <w:name w:val="标题4"/>
    <w:basedOn w:val="1"/>
    <w:qFormat/>
    <w:uiPriority w:val="0"/>
    <w:pPr>
      <w:ind w:firstLine="480" w:firstLineChars="200"/>
    </w:pPr>
    <w:rPr>
      <w:rFonts w:ascii="仿宋" w:hAnsi="宋体" w:eastAsia="仿宋"/>
      <w:b/>
      <w:szCs w:val="20"/>
    </w:rPr>
  </w:style>
  <w:style w:type="paragraph" w:customStyle="1" w:styleId="475">
    <w:name w:val="表格内容"/>
    <w:basedOn w:val="1"/>
    <w:link w:val="476"/>
    <w:qFormat/>
    <w:uiPriority w:val="0"/>
    <w:pPr>
      <w:spacing w:line="300" w:lineRule="auto"/>
    </w:pPr>
    <w:rPr>
      <w:rFonts w:ascii="仿宋" w:hAnsi="仿宋" w:eastAsia="仿宋"/>
    </w:rPr>
  </w:style>
  <w:style w:type="character" w:customStyle="1" w:styleId="476">
    <w:name w:val="表格内容 Char"/>
    <w:link w:val="475"/>
    <w:qFormat/>
    <w:uiPriority w:val="0"/>
    <w:rPr>
      <w:rFonts w:ascii="仿宋" w:hAnsi="仿宋" w:eastAsia="仿宋" w:cstheme="minorBidi"/>
      <w:kern w:val="2"/>
      <w:sz w:val="21"/>
      <w:szCs w:val="24"/>
    </w:rPr>
  </w:style>
  <w:style w:type="paragraph" w:customStyle="1" w:styleId="477">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478">
    <w:name w:val="样式7"/>
    <w:basedOn w:val="1"/>
    <w:next w:val="1"/>
    <w:link w:val="479"/>
    <w:qFormat/>
    <w:uiPriority w:val="0"/>
    <w:pPr>
      <w:ind w:firstLine="200" w:firstLineChars="200"/>
      <w:jc w:val="left"/>
    </w:pPr>
    <w:rPr>
      <w:rFonts w:hAnsi="仿宋" w:eastAsia="仿宋"/>
    </w:rPr>
  </w:style>
  <w:style w:type="character" w:customStyle="1" w:styleId="479">
    <w:name w:val="样式7 Char"/>
    <w:link w:val="478"/>
    <w:qFormat/>
    <w:uiPriority w:val="0"/>
    <w:rPr>
      <w:rFonts w:hAnsi="仿宋" w:eastAsia="仿宋" w:cstheme="minorBidi"/>
      <w:kern w:val="2"/>
      <w:sz w:val="21"/>
      <w:szCs w:val="24"/>
    </w:rPr>
  </w:style>
  <w:style w:type="paragraph" w:customStyle="1" w:styleId="480">
    <w:name w:val="表格首行"/>
    <w:basedOn w:val="475"/>
    <w:link w:val="481"/>
    <w:qFormat/>
    <w:uiPriority w:val="0"/>
    <w:pPr>
      <w:jc w:val="center"/>
    </w:pPr>
    <w:rPr>
      <w:b/>
      <w:color w:val="FFFFFF"/>
    </w:rPr>
  </w:style>
  <w:style w:type="character" w:customStyle="1" w:styleId="481">
    <w:name w:val="表格首行 Char"/>
    <w:link w:val="480"/>
    <w:qFormat/>
    <w:uiPriority w:val="0"/>
    <w:rPr>
      <w:rFonts w:ascii="仿宋" w:hAnsi="仿宋" w:eastAsia="仿宋" w:cstheme="minorBidi"/>
      <w:b/>
      <w:color w:val="FFFFFF"/>
      <w:kern w:val="2"/>
      <w:sz w:val="21"/>
      <w:szCs w:val="24"/>
    </w:rPr>
  </w:style>
  <w:style w:type="paragraph" w:customStyle="1" w:styleId="482">
    <w:name w:val="表名格式"/>
    <w:basedOn w:val="1"/>
    <w:link w:val="483"/>
    <w:qFormat/>
    <w:uiPriority w:val="0"/>
    <w:pPr>
      <w:spacing w:beforeLines="50" w:line="300" w:lineRule="auto"/>
      <w:jc w:val="center"/>
    </w:pPr>
    <w:rPr>
      <w:rFonts w:ascii="仿宋" w:hAnsi="仿宋" w:eastAsia="仿宋"/>
      <w:b/>
    </w:rPr>
  </w:style>
  <w:style w:type="character" w:customStyle="1" w:styleId="483">
    <w:name w:val="表名格式 Char"/>
    <w:link w:val="482"/>
    <w:qFormat/>
    <w:uiPriority w:val="0"/>
    <w:rPr>
      <w:rFonts w:ascii="仿宋" w:hAnsi="仿宋" w:eastAsia="仿宋" w:cstheme="minorBidi"/>
      <w:b/>
      <w:kern w:val="2"/>
      <w:sz w:val="21"/>
      <w:szCs w:val="24"/>
    </w:rPr>
  </w:style>
  <w:style w:type="paragraph" w:customStyle="1" w:styleId="484">
    <w:name w:val="华艺图表格式"/>
    <w:basedOn w:val="24"/>
    <w:qFormat/>
    <w:uiPriority w:val="0"/>
    <w:pPr>
      <w:ind w:firstLine="200" w:firstLineChars="200"/>
      <w:jc w:val="center"/>
    </w:pPr>
    <w:rPr>
      <w:rFonts w:ascii="Arial" w:hAnsi="Arial" w:eastAsia="宋体" w:cs="Arial"/>
      <w:b/>
      <w:sz w:val="24"/>
    </w:rPr>
  </w:style>
  <w:style w:type="paragraph" w:customStyle="1" w:styleId="485">
    <w:name w:val="Char Char Char Char"/>
    <w:basedOn w:val="1"/>
    <w:qFormat/>
    <w:uiPriority w:val="0"/>
    <w:pPr>
      <w:widowControl/>
      <w:spacing w:after="160" w:line="240" w:lineRule="exact"/>
      <w:ind w:firstLine="200" w:firstLineChars="200"/>
      <w:jc w:val="left"/>
    </w:pPr>
    <w:rPr>
      <w:rFonts w:ascii="Calibri" w:hAnsi="Calibri" w:eastAsia="仿宋"/>
      <w:szCs w:val="20"/>
    </w:rPr>
  </w:style>
  <w:style w:type="paragraph" w:customStyle="1" w:styleId="48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87">
    <w:name w:val="标题一"/>
    <w:basedOn w:val="7"/>
    <w:link w:val="488"/>
    <w:qFormat/>
    <w:uiPriority w:val="0"/>
    <w:pPr>
      <w:keepNext w:val="0"/>
      <w:keepLines w:val="0"/>
      <w:tabs>
        <w:tab w:val="left" w:pos="420"/>
      </w:tabs>
      <w:snapToGrid w:val="0"/>
      <w:spacing w:beforeLines="50" w:after="0" w:line="300" w:lineRule="auto"/>
      <w:ind w:firstLine="422" w:firstLineChars="200"/>
      <w:jc w:val="center"/>
    </w:pPr>
    <w:rPr>
      <w:rFonts w:ascii="仿宋" w:hAnsi="宋体" w:eastAsia="仿宋"/>
      <w:color w:val="000000"/>
      <w:sz w:val="28"/>
      <w:szCs w:val="28"/>
    </w:rPr>
  </w:style>
  <w:style w:type="character" w:customStyle="1" w:styleId="488">
    <w:name w:val="标题一 Char"/>
    <w:link w:val="487"/>
    <w:qFormat/>
    <w:uiPriority w:val="0"/>
    <w:rPr>
      <w:rFonts w:ascii="仿宋" w:hAnsi="宋体" w:eastAsia="仿宋" w:cstheme="minorBidi"/>
      <w:b/>
      <w:bCs/>
      <w:color w:val="000000"/>
      <w:sz w:val="28"/>
      <w:szCs w:val="28"/>
    </w:rPr>
  </w:style>
  <w:style w:type="paragraph" w:customStyle="1" w:styleId="489">
    <w:name w:val="无间隔1"/>
    <w:qFormat/>
    <w:uiPriority w:val="1"/>
    <w:pPr>
      <w:widowControl w:val="0"/>
    </w:pPr>
    <w:rPr>
      <w:rFonts w:ascii="Calibri" w:hAnsi="Calibri" w:eastAsia="宋体" w:cs="Times New Roman"/>
      <w:kern w:val="2"/>
      <w:sz w:val="21"/>
      <w:lang w:val="en-US" w:eastAsia="zh-CN" w:bidi="ar-SA"/>
    </w:rPr>
  </w:style>
  <w:style w:type="paragraph" w:customStyle="1" w:styleId="490">
    <w:name w:val="样式 标题4 + 四号 左侧:  2 字符 首行缩进:  2 字符2"/>
    <w:basedOn w:val="474"/>
    <w:qFormat/>
    <w:uiPriority w:val="0"/>
    <w:pPr>
      <w:spacing w:line="300" w:lineRule="auto"/>
      <w:ind w:left="200" w:leftChars="200" w:firstLine="562"/>
      <w:jc w:val="left"/>
    </w:pPr>
    <w:rPr>
      <w:rFonts w:ascii="Times New Roman" w:hAnsi="Times New Roman" w:cs="宋体"/>
      <w:bCs/>
      <w:color w:val="000000"/>
    </w:rPr>
  </w:style>
  <w:style w:type="paragraph" w:customStyle="1" w:styleId="491">
    <w:name w:val="STL正文"/>
    <w:basedOn w:val="1"/>
    <w:link w:val="492"/>
    <w:qFormat/>
    <w:uiPriority w:val="0"/>
    <w:pPr>
      <w:spacing w:line="300" w:lineRule="auto"/>
      <w:ind w:firstLine="200" w:firstLineChars="200"/>
    </w:pPr>
    <w:rPr>
      <w:rFonts w:ascii="Calibri" w:hAnsi="Calibri" w:eastAsia="仿宋"/>
    </w:rPr>
  </w:style>
  <w:style w:type="character" w:customStyle="1" w:styleId="492">
    <w:name w:val="STL正文 Char"/>
    <w:link w:val="491"/>
    <w:qFormat/>
    <w:uiPriority w:val="0"/>
    <w:rPr>
      <w:rFonts w:ascii="Calibri" w:hAnsi="Calibri" w:eastAsia="仿宋" w:cstheme="minorBidi"/>
      <w:kern w:val="2"/>
      <w:sz w:val="21"/>
      <w:szCs w:val="22"/>
    </w:rPr>
  </w:style>
  <w:style w:type="paragraph" w:customStyle="1" w:styleId="493">
    <w:name w:val="表标题"/>
    <w:basedOn w:val="1"/>
    <w:qFormat/>
    <w:uiPriority w:val="0"/>
    <w:pPr>
      <w:spacing w:beforeLines="50" w:line="300" w:lineRule="auto"/>
      <w:ind w:firstLine="200" w:firstLineChars="200"/>
      <w:jc w:val="center"/>
    </w:pPr>
    <w:rPr>
      <w:rFonts w:hAnsi="仿宋" w:eastAsia="仿宋"/>
      <w:b/>
      <w:color w:val="000000"/>
      <w:szCs w:val="21"/>
    </w:rPr>
  </w:style>
  <w:style w:type="paragraph" w:customStyle="1" w:styleId="494">
    <w:name w:val="表正文"/>
    <w:basedOn w:val="1"/>
    <w:qFormat/>
    <w:uiPriority w:val="0"/>
    <w:pPr>
      <w:widowControl/>
      <w:ind w:firstLine="200" w:firstLineChars="200"/>
      <w:jc w:val="center"/>
    </w:pPr>
    <w:rPr>
      <w:rFonts w:hAnsi="仿宋" w:eastAsia="仿宋"/>
      <w:color w:val="000000"/>
      <w:kern w:val="0"/>
      <w:szCs w:val="21"/>
    </w:rPr>
  </w:style>
  <w:style w:type="paragraph" w:customStyle="1" w:styleId="495">
    <w:name w:val="Char1 Char Char Char Char Char1 Char"/>
    <w:basedOn w:val="1"/>
    <w:qFormat/>
    <w:uiPriority w:val="0"/>
    <w:pPr>
      <w:widowControl/>
      <w:spacing w:after="160" w:line="240" w:lineRule="exact"/>
      <w:ind w:firstLine="200" w:firstLineChars="200"/>
      <w:jc w:val="left"/>
    </w:pPr>
    <w:rPr>
      <w:rFonts w:ascii="Verdana" w:hAnsi="Verdana" w:eastAsia="仿宋"/>
      <w:kern w:val="0"/>
      <w:sz w:val="20"/>
      <w:szCs w:val="20"/>
      <w:lang w:eastAsia="en-US"/>
    </w:rPr>
  </w:style>
  <w:style w:type="paragraph" w:customStyle="1" w:styleId="496">
    <w:name w:val="STL图表内容"/>
    <w:basedOn w:val="1"/>
    <w:link w:val="497"/>
    <w:qFormat/>
    <w:uiPriority w:val="0"/>
    <w:pPr>
      <w:tabs>
        <w:tab w:val="left" w:pos="142"/>
      </w:tabs>
      <w:adjustRightInd w:val="0"/>
      <w:snapToGrid w:val="0"/>
      <w:spacing w:line="264" w:lineRule="auto"/>
      <w:ind w:firstLine="200" w:firstLineChars="200"/>
      <w:jc w:val="center"/>
    </w:pPr>
    <w:rPr>
      <w:rFonts w:ascii="仿宋" w:hAnsi="宋体" w:eastAsia="仿宋"/>
      <w:color w:val="000000"/>
    </w:rPr>
  </w:style>
  <w:style w:type="character" w:customStyle="1" w:styleId="497">
    <w:name w:val="STL图表内容 Char"/>
    <w:link w:val="496"/>
    <w:qFormat/>
    <w:uiPriority w:val="0"/>
    <w:rPr>
      <w:rFonts w:ascii="仿宋" w:hAnsi="宋体" w:eastAsia="仿宋" w:cstheme="minorBidi"/>
      <w:color w:val="000000"/>
      <w:kern w:val="2"/>
      <w:sz w:val="21"/>
      <w:szCs w:val="24"/>
    </w:rPr>
  </w:style>
  <w:style w:type="paragraph" w:customStyle="1" w:styleId="498">
    <w:name w:val="STL四级"/>
    <w:basedOn w:val="1"/>
    <w:link w:val="499"/>
    <w:qFormat/>
    <w:uiPriority w:val="0"/>
    <w:pPr>
      <w:tabs>
        <w:tab w:val="left" w:pos="142"/>
      </w:tabs>
      <w:spacing w:beforeLines="50" w:afterLines="50"/>
      <w:ind w:firstLine="200" w:firstLineChars="200"/>
      <w:jc w:val="left"/>
      <w:outlineLvl w:val="3"/>
    </w:pPr>
    <w:rPr>
      <w:rFonts w:ascii="仿宋" w:hAnsi="宋体" w:eastAsia="仿宋"/>
      <w:b/>
      <w:color w:val="000000"/>
      <w:sz w:val="28"/>
    </w:rPr>
  </w:style>
  <w:style w:type="character" w:customStyle="1" w:styleId="499">
    <w:name w:val="STL四级 Char"/>
    <w:link w:val="498"/>
    <w:qFormat/>
    <w:uiPriority w:val="0"/>
    <w:rPr>
      <w:rFonts w:ascii="仿宋" w:hAnsi="宋体" w:eastAsia="仿宋" w:cstheme="minorBidi"/>
      <w:b/>
      <w:color w:val="000000"/>
      <w:kern w:val="2"/>
      <w:sz w:val="28"/>
      <w:szCs w:val="24"/>
    </w:rPr>
  </w:style>
  <w:style w:type="paragraph" w:customStyle="1" w:styleId="500">
    <w:name w:val="STL五级"/>
    <w:basedOn w:val="1"/>
    <w:link w:val="501"/>
    <w:qFormat/>
    <w:uiPriority w:val="0"/>
    <w:pPr>
      <w:tabs>
        <w:tab w:val="left" w:pos="142"/>
      </w:tabs>
      <w:spacing w:beforeLines="50" w:afterLines="50"/>
      <w:ind w:firstLine="200" w:firstLineChars="200"/>
      <w:jc w:val="left"/>
      <w:outlineLvl w:val="4"/>
    </w:pPr>
    <w:rPr>
      <w:rFonts w:ascii="仿宋" w:hAnsi="宋体" w:eastAsia="仿宋"/>
      <w:b/>
      <w:color w:val="000000"/>
    </w:rPr>
  </w:style>
  <w:style w:type="character" w:customStyle="1" w:styleId="501">
    <w:name w:val="STL五级 Char"/>
    <w:link w:val="500"/>
    <w:qFormat/>
    <w:uiPriority w:val="0"/>
    <w:rPr>
      <w:rFonts w:ascii="仿宋" w:hAnsi="宋体" w:eastAsia="仿宋" w:cstheme="minorBidi"/>
      <w:b/>
      <w:color w:val="000000"/>
      <w:kern w:val="2"/>
      <w:sz w:val="21"/>
      <w:szCs w:val="24"/>
    </w:rPr>
  </w:style>
  <w:style w:type="paragraph" w:customStyle="1" w:styleId="502">
    <w:name w:val="普通(网站)1"/>
    <w:basedOn w:val="1"/>
    <w:qFormat/>
    <w:uiPriority w:val="0"/>
    <w:pPr>
      <w:widowControl/>
      <w:spacing w:before="100" w:beforeAutospacing="1" w:after="100" w:afterAutospacing="1"/>
      <w:ind w:firstLine="200" w:firstLineChars="200"/>
      <w:jc w:val="left"/>
    </w:pPr>
    <w:rPr>
      <w:rFonts w:ascii="仿宋" w:hAnsi="宋体" w:eastAsia="仿宋" w:cs="宋体"/>
      <w:kern w:val="0"/>
    </w:rPr>
  </w:style>
  <w:style w:type="paragraph" w:customStyle="1" w:styleId="503">
    <w:name w:val="正文文本 22"/>
    <w:basedOn w:val="1"/>
    <w:qFormat/>
    <w:uiPriority w:val="0"/>
    <w:pPr>
      <w:spacing w:after="120" w:line="480" w:lineRule="auto"/>
    </w:pPr>
  </w:style>
  <w:style w:type="paragraph" w:customStyle="1" w:styleId="504">
    <w:name w:val="xl26"/>
    <w:basedOn w:val="1"/>
    <w:qFormat/>
    <w:uiPriority w:val="0"/>
    <w:pPr>
      <w:widowControl/>
      <w:pBdr>
        <w:left w:val="single" w:color="auto" w:sz="4" w:space="0"/>
        <w:bottom w:val="single" w:color="auto" w:sz="4" w:space="0"/>
      </w:pBdr>
      <w:spacing w:before="100" w:beforeAutospacing="1" w:after="100" w:afterAutospacing="1"/>
      <w:ind w:firstLine="200" w:firstLineChars="200"/>
      <w:jc w:val="center"/>
      <w:textAlignment w:val="center"/>
    </w:pPr>
    <w:rPr>
      <w:rFonts w:ascii="仿宋" w:hAnsi="宋体" w:eastAsia="仿宋"/>
      <w:kern w:val="0"/>
    </w:rPr>
  </w:style>
  <w:style w:type="paragraph" w:customStyle="1" w:styleId="505">
    <w:name w:val="正文文本缩进2"/>
    <w:basedOn w:val="1"/>
    <w:qFormat/>
    <w:uiPriority w:val="0"/>
    <w:pPr>
      <w:spacing w:after="120"/>
      <w:ind w:left="200" w:leftChars="200"/>
    </w:pPr>
    <w:rPr>
      <w:rFonts w:ascii="Calibri" w:hAnsi="Calibri"/>
    </w:rPr>
  </w:style>
  <w:style w:type="paragraph" w:customStyle="1" w:styleId="506">
    <w:name w:val="二级题型"/>
    <w:basedOn w:val="1"/>
    <w:qFormat/>
    <w:uiPriority w:val="99"/>
    <w:pPr>
      <w:tabs>
        <w:tab w:val="left" w:pos="907"/>
      </w:tabs>
      <w:spacing w:line="560" w:lineRule="exact"/>
    </w:pPr>
    <w:rPr>
      <w:rFonts w:hAnsi="仿宋" w:eastAsia="仿宋"/>
    </w:rPr>
  </w:style>
  <w:style w:type="paragraph" w:customStyle="1" w:styleId="507">
    <w:name w:val="正文文本 32"/>
    <w:basedOn w:val="1"/>
    <w:qFormat/>
    <w:uiPriority w:val="0"/>
    <w:pPr>
      <w:spacing w:after="120"/>
    </w:pPr>
    <w:rPr>
      <w:rFonts w:ascii="Calibri" w:hAnsi="Calibri"/>
      <w:sz w:val="16"/>
      <w:szCs w:val="16"/>
    </w:rPr>
  </w:style>
  <w:style w:type="paragraph" w:customStyle="1" w:styleId="508">
    <w:name w:val="4.6"/>
    <w:basedOn w:val="7"/>
    <w:link w:val="509"/>
    <w:qFormat/>
    <w:uiPriority w:val="0"/>
    <w:pPr>
      <w:spacing w:beforeLines="50" w:afterLines="50" w:line="300" w:lineRule="auto"/>
      <w:ind w:firstLine="0"/>
      <w:jc w:val="center"/>
      <w:outlineLvl w:val="0"/>
    </w:pPr>
    <w:rPr>
      <w:rFonts w:ascii="仿宋" w:hAnsi="仿宋" w:eastAsia="仿宋"/>
      <w:sz w:val="44"/>
      <w:szCs w:val="44"/>
    </w:rPr>
  </w:style>
  <w:style w:type="character" w:customStyle="1" w:styleId="509">
    <w:name w:val="4.6 Char"/>
    <w:link w:val="508"/>
    <w:qFormat/>
    <w:uiPriority w:val="0"/>
    <w:rPr>
      <w:rFonts w:ascii="仿宋" w:hAnsi="仿宋" w:eastAsia="仿宋" w:cstheme="minorBidi"/>
      <w:b/>
      <w:bCs/>
      <w:kern w:val="2"/>
      <w:sz w:val="44"/>
      <w:szCs w:val="44"/>
    </w:rPr>
  </w:style>
  <w:style w:type="paragraph" w:customStyle="1" w:styleId="51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11">
    <w:name w:val="华帝二级"/>
    <w:basedOn w:val="1"/>
    <w:qFormat/>
    <w:uiPriority w:val="0"/>
    <w:pPr>
      <w:adjustRightInd w:val="0"/>
      <w:spacing w:beforeLines="50" w:afterLines="50" w:line="300" w:lineRule="auto"/>
      <w:outlineLvl w:val="1"/>
    </w:pPr>
    <w:rPr>
      <w:rFonts w:ascii="仿宋" w:hAnsi="仿宋" w:eastAsia="仿宋"/>
      <w:b/>
      <w:sz w:val="28"/>
    </w:rPr>
  </w:style>
  <w:style w:type="paragraph" w:customStyle="1" w:styleId="512">
    <w:name w:val="三级标题"/>
    <w:basedOn w:val="414"/>
    <w:link w:val="513"/>
    <w:qFormat/>
    <w:uiPriority w:val="0"/>
    <w:pPr>
      <w:spacing w:before="156" w:after="156"/>
    </w:pPr>
    <w:rPr>
      <w:sz w:val="24"/>
    </w:rPr>
  </w:style>
  <w:style w:type="character" w:customStyle="1" w:styleId="513">
    <w:name w:val="三级标题 Char"/>
    <w:link w:val="512"/>
    <w:qFormat/>
    <w:uiPriority w:val="0"/>
    <w:rPr>
      <w:rFonts w:cstheme="minorBidi"/>
      <w:b/>
      <w:color w:val="000000"/>
      <w:kern w:val="2"/>
      <w:sz w:val="24"/>
      <w:szCs w:val="24"/>
    </w:rPr>
  </w:style>
  <w:style w:type="paragraph" w:customStyle="1" w:styleId="514">
    <w:name w:val="华帝4级"/>
    <w:basedOn w:val="1"/>
    <w:link w:val="515"/>
    <w:qFormat/>
    <w:uiPriority w:val="0"/>
    <w:pPr>
      <w:adjustRightInd w:val="0"/>
      <w:spacing w:beforeLines="50" w:afterLines="50" w:line="300" w:lineRule="auto"/>
      <w:ind w:firstLine="200" w:firstLineChars="200"/>
      <w:outlineLvl w:val="3"/>
    </w:pPr>
    <w:rPr>
      <w:rFonts w:ascii="仿宋" w:hAnsi="仿宋" w:eastAsia="仿宋"/>
      <w:b/>
    </w:rPr>
  </w:style>
  <w:style w:type="character" w:customStyle="1" w:styleId="515">
    <w:name w:val="华帝4级 Char"/>
    <w:link w:val="514"/>
    <w:qFormat/>
    <w:uiPriority w:val="0"/>
    <w:rPr>
      <w:rFonts w:ascii="仿宋" w:hAnsi="仿宋" w:eastAsia="仿宋" w:cstheme="minorBidi"/>
      <w:b/>
      <w:kern w:val="2"/>
      <w:sz w:val="21"/>
      <w:szCs w:val="24"/>
    </w:rPr>
  </w:style>
  <w:style w:type="paragraph" w:customStyle="1" w:styleId="516">
    <w:name w:val="TBB三级"/>
    <w:basedOn w:val="1"/>
    <w:link w:val="517"/>
    <w:qFormat/>
    <w:uiPriority w:val="0"/>
    <w:pPr>
      <w:widowControl/>
      <w:shd w:val="clear" w:color="auto" w:fill="FFFFFF"/>
      <w:spacing w:beforeLines="50" w:afterLines="50"/>
      <w:jc w:val="left"/>
      <w:outlineLvl w:val="2"/>
    </w:pPr>
    <w:rPr>
      <w:rFonts w:ascii="宋体" w:hAnsi="宋体"/>
      <w:b/>
      <w:bCs/>
      <w:kern w:val="0"/>
      <w:szCs w:val="21"/>
    </w:rPr>
  </w:style>
  <w:style w:type="character" w:customStyle="1" w:styleId="517">
    <w:name w:val="TBB三级 Char"/>
    <w:link w:val="516"/>
    <w:qFormat/>
    <w:uiPriority w:val="0"/>
    <w:rPr>
      <w:rFonts w:ascii="宋体" w:hAnsi="宋体" w:cstheme="minorBidi"/>
      <w:b/>
      <w:bCs/>
      <w:sz w:val="21"/>
      <w:szCs w:val="21"/>
      <w:shd w:val="clear" w:color="auto" w:fill="FFFFFF"/>
    </w:rPr>
  </w:style>
  <w:style w:type="paragraph" w:customStyle="1" w:styleId="518">
    <w:name w:val="华艺正文"/>
    <w:basedOn w:val="1"/>
    <w:link w:val="519"/>
    <w:qFormat/>
    <w:uiPriority w:val="0"/>
    <w:pPr>
      <w:spacing w:line="300" w:lineRule="auto"/>
      <w:ind w:firstLine="200" w:firstLineChars="200"/>
    </w:pPr>
    <w:rPr>
      <w:rFonts w:ascii="宋体" w:hAnsi="宋体"/>
    </w:rPr>
  </w:style>
  <w:style w:type="character" w:customStyle="1" w:styleId="519">
    <w:name w:val="华艺正文 Char"/>
    <w:link w:val="518"/>
    <w:qFormat/>
    <w:uiPriority w:val="0"/>
    <w:rPr>
      <w:rFonts w:ascii="宋体" w:hAnsi="宋体" w:cstheme="minorBidi"/>
      <w:kern w:val="2"/>
      <w:sz w:val="21"/>
      <w:szCs w:val="24"/>
    </w:rPr>
  </w:style>
  <w:style w:type="paragraph" w:customStyle="1" w:styleId="520">
    <w:name w:val="Char2"/>
    <w:basedOn w:val="1"/>
    <w:qFormat/>
    <w:uiPriority w:val="0"/>
    <w:rPr>
      <w:szCs w:val="20"/>
    </w:rPr>
  </w:style>
  <w:style w:type="paragraph" w:customStyle="1" w:styleId="521">
    <w:name w:val="TBB图标"/>
    <w:basedOn w:val="24"/>
    <w:link w:val="522"/>
    <w:qFormat/>
    <w:uiPriority w:val="0"/>
    <w:pPr>
      <w:jc w:val="center"/>
    </w:pPr>
    <w:rPr>
      <w:rFonts w:ascii="宋体" w:hAnsi="宋体"/>
      <w:b/>
      <w:szCs w:val="21"/>
    </w:rPr>
  </w:style>
  <w:style w:type="character" w:customStyle="1" w:styleId="522">
    <w:name w:val="TBB图标 Char"/>
    <w:link w:val="521"/>
    <w:qFormat/>
    <w:uiPriority w:val="0"/>
    <w:rPr>
      <w:rFonts w:ascii="宋体" w:hAnsi="宋体" w:eastAsia="黑体" w:cstheme="minorBidi"/>
      <w:b/>
      <w:kern w:val="2"/>
      <w:szCs w:val="21"/>
    </w:rPr>
  </w:style>
  <w:style w:type="paragraph" w:customStyle="1" w:styleId="523">
    <w:name w:val="Char Char Char Char Char Char2 Char Char Char Char Char Char Char Char Char Char Char Char Char1"/>
    <w:basedOn w:val="1"/>
    <w:qFormat/>
    <w:uiPriority w:val="0"/>
    <w:pPr>
      <w:adjustRightInd w:val="0"/>
      <w:spacing w:line="360" w:lineRule="auto"/>
      <w:textAlignment w:val="baseline"/>
    </w:pPr>
    <w:rPr>
      <w:rFonts w:ascii="Tahoma" w:hAnsi="Tahoma"/>
      <w:sz w:val="28"/>
      <w:szCs w:val="20"/>
    </w:rPr>
  </w:style>
  <w:style w:type="paragraph" w:customStyle="1" w:styleId="524">
    <w:name w:val="默认段落字体 Para Char Char Char Char Char Char Char"/>
    <w:basedOn w:val="1"/>
    <w:qFormat/>
    <w:uiPriority w:val="0"/>
    <w:rPr>
      <w:rFonts w:ascii="Arial" w:hAnsi="Arial" w:cs="Arial"/>
      <w:sz w:val="20"/>
      <w:szCs w:val="20"/>
    </w:rPr>
  </w:style>
  <w:style w:type="paragraph" w:customStyle="1" w:styleId="525">
    <w:name w:val="表"/>
    <w:basedOn w:val="1"/>
    <w:qFormat/>
    <w:uiPriority w:val="1"/>
    <w:pPr>
      <w:spacing w:line="360" w:lineRule="auto"/>
      <w:ind w:firstLine="420" w:firstLineChars="200"/>
      <w:jc w:val="center"/>
    </w:pPr>
    <w:rPr>
      <w:rFonts w:eastAsia="黑体"/>
    </w:rPr>
  </w:style>
  <w:style w:type="paragraph" w:customStyle="1" w:styleId="526">
    <w:name w:val="TOC 标题11"/>
    <w:basedOn w:val="5"/>
    <w:next w:val="1"/>
    <w:qFormat/>
    <w:uiPriority w:val="39"/>
    <w:pPr>
      <w:widowControl/>
      <w:spacing w:beforeLines="50" w:afterLines="150" w:line="276" w:lineRule="auto"/>
      <w:ind w:firstLine="200" w:firstLineChars="200"/>
      <w:jc w:val="left"/>
      <w:outlineLvl w:val="9"/>
    </w:pPr>
    <w:rPr>
      <w:rFonts w:ascii="Cambria" w:hAnsi="Cambria"/>
      <w:color w:val="365F91"/>
      <w:kern w:val="0"/>
      <w:szCs w:val="28"/>
    </w:rPr>
  </w:style>
  <w:style w:type="paragraph" w:customStyle="1" w:styleId="527">
    <w:name w:val="Char Char Char Char Char Char Char Char"/>
    <w:basedOn w:val="1"/>
    <w:qFormat/>
    <w:uiPriority w:val="0"/>
    <w:pPr>
      <w:widowControl/>
      <w:spacing w:line="324" w:lineRule="auto"/>
      <w:jc w:val="left"/>
    </w:pPr>
    <w:rPr>
      <w:rFonts w:ascii="Calibri" w:hAnsi="Calibri"/>
    </w:rPr>
  </w:style>
  <w:style w:type="paragraph" w:customStyle="1" w:styleId="528">
    <w:name w:val="无间隔3"/>
    <w:link w:val="529"/>
    <w:qFormat/>
    <w:uiPriority w:val="1"/>
    <w:pPr>
      <w:widowControl w:val="0"/>
    </w:pPr>
    <w:rPr>
      <w:rFonts w:ascii="Times New Roman" w:hAnsi="Times New Roman" w:eastAsia="宋体" w:cs="Times New Roman"/>
      <w:kern w:val="2"/>
      <w:sz w:val="21"/>
      <w:lang w:val="en-US" w:eastAsia="zh-CN" w:bidi="ar-SA"/>
    </w:rPr>
  </w:style>
  <w:style w:type="character" w:customStyle="1" w:styleId="529">
    <w:name w:val="无间隔 Char"/>
    <w:link w:val="528"/>
    <w:qFormat/>
    <w:uiPriority w:val="1"/>
    <w:rPr>
      <w:kern w:val="2"/>
      <w:sz w:val="21"/>
    </w:rPr>
  </w:style>
  <w:style w:type="paragraph" w:customStyle="1" w:styleId="530">
    <w:name w:val="手册正文"/>
    <w:basedOn w:val="1"/>
    <w:qFormat/>
    <w:uiPriority w:val="0"/>
    <w:pPr>
      <w:adjustRightInd w:val="0"/>
      <w:snapToGrid w:val="0"/>
      <w:spacing w:after="200" w:line="360" w:lineRule="auto"/>
      <w:ind w:firstLine="200" w:firstLineChars="200"/>
    </w:pPr>
    <w:rPr>
      <w:rFonts w:ascii="仿宋_GB2312" w:hAnsi="Tahoma"/>
      <w:kern w:val="0"/>
      <w:sz w:val="28"/>
      <w:szCs w:val="32"/>
    </w:rPr>
  </w:style>
  <w:style w:type="paragraph" w:customStyle="1" w:styleId="531">
    <w:name w:val="目录 51"/>
    <w:basedOn w:val="1"/>
    <w:next w:val="1"/>
    <w:unhideWhenUsed/>
    <w:qFormat/>
    <w:uiPriority w:val="39"/>
    <w:pPr>
      <w:ind w:left="840"/>
      <w:jc w:val="left"/>
    </w:pPr>
    <w:rPr>
      <w:rFonts w:ascii="Calibri" w:hAnsi="Calibri"/>
      <w:sz w:val="18"/>
      <w:szCs w:val="18"/>
    </w:rPr>
  </w:style>
  <w:style w:type="paragraph" w:customStyle="1" w:styleId="532">
    <w:name w:val="p16"/>
    <w:basedOn w:val="1"/>
    <w:qFormat/>
    <w:uiPriority w:val="0"/>
    <w:pPr>
      <w:widowControl/>
      <w:spacing w:before="156" w:after="156"/>
      <w:jc w:val="center"/>
    </w:pPr>
    <w:rPr>
      <w:rFonts w:ascii="Arial" w:hAnsi="Arial" w:cs="Arial"/>
      <w:b/>
      <w:bCs/>
      <w:kern w:val="0"/>
      <w:szCs w:val="21"/>
    </w:rPr>
  </w:style>
  <w:style w:type="paragraph" w:customStyle="1" w:styleId="533">
    <w:name w:val="目录 71"/>
    <w:basedOn w:val="1"/>
    <w:next w:val="1"/>
    <w:unhideWhenUsed/>
    <w:qFormat/>
    <w:uiPriority w:val="39"/>
    <w:pPr>
      <w:ind w:left="1260"/>
      <w:jc w:val="left"/>
    </w:pPr>
    <w:rPr>
      <w:rFonts w:ascii="Calibri" w:hAnsi="Calibri"/>
      <w:sz w:val="18"/>
      <w:szCs w:val="18"/>
    </w:rPr>
  </w:style>
  <w:style w:type="paragraph" w:customStyle="1" w:styleId="534">
    <w:name w:val="Char1 Char Char Char Char"/>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535">
    <w:name w:val="目录 61"/>
    <w:basedOn w:val="1"/>
    <w:next w:val="1"/>
    <w:unhideWhenUsed/>
    <w:qFormat/>
    <w:uiPriority w:val="39"/>
    <w:pPr>
      <w:ind w:left="1050"/>
      <w:jc w:val="left"/>
    </w:pPr>
    <w:rPr>
      <w:rFonts w:ascii="Calibri" w:hAnsi="Calibri"/>
      <w:sz w:val="18"/>
      <w:szCs w:val="18"/>
    </w:rPr>
  </w:style>
  <w:style w:type="paragraph" w:customStyle="1" w:styleId="53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37">
    <w:name w:val="公文正文"/>
    <w:basedOn w:val="1"/>
    <w:qFormat/>
    <w:uiPriority w:val="0"/>
    <w:pPr>
      <w:ind w:firstLine="640"/>
    </w:pPr>
    <w:rPr>
      <w:rFonts w:eastAsia="仿宋_GB2312"/>
      <w:sz w:val="32"/>
      <w:szCs w:val="20"/>
    </w:rPr>
  </w:style>
  <w:style w:type="paragraph" w:customStyle="1" w:styleId="538">
    <w:name w:val="目录 81"/>
    <w:basedOn w:val="1"/>
    <w:next w:val="1"/>
    <w:unhideWhenUsed/>
    <w:qFormat/>
    <w:uiPriority w:val="39"/>
    <w:pPr>
      <w:ind w:left="1470"/>
      <w:jc w:val="left"/>
    </w:pPr>
    <w:rPr>
      <w:rFonts w:ascii="Calibri" w:hAnsi="Calibri"/>
      <w:sz w:val="18"/>
      <w:szCs w:val="18"/>
    </w:rPr>
  </w:style>
  <w:style w:type="paragraph" w:customStyle="1" w:styleId="539">
    <w:name w:val="主送机关"/>
    <w:basedOn w:val="1"/>
    <w:qFormat/>
    <w:uiPriority w:val="0"/>
    <w:rPr>
      <w:rFonts w:eastAsia="仿宋_GB2312"/>
      <w:sz w:val="32"/>
      <w:szCs w:val="20"/>
    </w:rPr>
  </w:style>
  <w:style w:type="paragraph" w:customStyle="1" w:styleId="540">
    <w:name w:val="样式 左侧:  2 字符"/>
    <w:basedOn w:val="2"/>
    <w:qFormat/>
    <w:uiPriority w:val="0"/>
    <w:pPr>
      <w:widowControl/>
      <w:adjustRightInd w:val="0"/>
      <w:snapToGrid w:val="0"/>
      <w:spacing w:line="300" w:lineRule="auto"/>
      <w:jc w:val="left"/>
    </w:pPr>
    <w:rPr>
      <w:rFonts w:ascii="Tahoma" w:hAnsi="Tahoma" w:eastAsia="宋体"/>
      <w:kern w:val="0"/>
      <w:szCs w:val="21"/>
      <w:u w:val="none"/>
    </w:rPr>
  </w:style>
  <w:style w:type="paragraph" w:customStyle="1" w:styleId="541">
    <w:name w:val="公文标题"/>
    <w:basedOn w:val="1"/>
    <w:qFormat/>
    <w:uiPriority w:val="0"/>
    <w:pPr>
      <w:jc w:val="center"/>
    </w:pPr>
    <w:rPr>
      <w:rFonts w:eastAsia="仿宋_GB2312"/>
      <w:sz w:val="44"/>
      <w:szCs w:val="20"/>
    </w:rPr>
  </w:style>
  <w:style w:type="paragraph" w:customStyle="1" w:styleId="542">
    <w:name w:val="defaultfont"/>
    <w:basedOn w:val="1"/>
    <w:qFormat/>
    <w:uiPriority w:val="0"/>
    <w:pPr>
      <w:widowControl/>
      <w:spacing w:before="100" w:beforeAutospacing="1" w:after="100" w:afterAutospacing="1"/>
      <w:jc w:val="left"/>
    </w:pPr>
    <w:rPr>
      <w:rFonts w:ascii="宋体" w:hAnsi="宋体" w:cs="宋体"/>
      <w:kern w:val="0"/>
    </w:rPr>
  </w:style>
  <w:style w:type="paragraph" w:customStyle="1" w:styleId="543">
    <w:name w:val="Char Char Char 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544">
    <w:name w:val="Char Char Char Char Char Char Char Char Char Char Char Char"/>
    <w:basedOn w:val="1"/>
    <w:qFormat/>
    <w:uiPriority w:val="0"/>
    <w:pPr>
      <w:widowControl/>
      <w:spacing w:after="160" w:line="240" w:lineRule="exact"/>
      <w:jc w:val="left"/>
    </w:pPr>
    <w:rPr>
      <w:szCs w:val="20"/>
    </w:rPr>
  </w:style>
  <w:style w:type="paragraph" w:customStyle="1" w:styleId="545">
    <w:name w:val="正文文本缩进1"/>
    <w:basedOn w:val="1"/>
    <w:qFormat/>
    <w:uiPriority w:val="0"/>
    <w:pPr>
      <w:spacing w:after="120"/>
      <w:ind w:left="200" w:leftChars="200"/>
    </w:pPr>
    <w:rPr>
      <w:rFonts w:ascii="Calibri" w:hAnsi="Calibri"/>
      <w:kern w:val="0"/>
      <w:sz w:val="20"/>
      <w:szCs w:val="20"/>
    </w:rPr>
  </w:style>
  <w:style w:type="paragraph" w:customStyle="1" w:styleId="546">
    <w:name w:val="正文文本 31"/>
    <w:basedOn w:val="1"/>
    <w:qFormat/>
    <w:uiPriority w:val="0"/>
    <w:pPr>
      <w:spacing w:after="120"/>
    </w:pPr>
    <w:rPr>
      <w:rFonts w:ascii="Calibri" w:hAnsi="Calibri"/>
      <w:sz w:val="16"/>
      <w:szCs w:val="16"/>
    </w:rPr>
  </w:style>
  <w:style w:type="paragraph" w:customStyle="1" w:styleId="547">
    <w:name w:val="正文 New"/>
    <w:qFormat/>
    <w:uiPriority w:val="0"/>
    <w:pPr>
      <w:widowControl w:val="0"/>
      <w:spacing w:beforeLines="50" w:afterLines="50" w:line="440" w:lineRule="exact"/>
      <w:ind w:firstLine="640" w:firstLineChars="200"/>
    </w:pPr>
    <w:rPr>
      <w:rFonts w:ascii="Times New Roman" w:hAnsi="Times New Roman" w:eastAsia="宋体" w:cs="Times New Roman"/>
      <w:sz w:val="24"/>
      <w:szCs w:val="24"/>
      <w:lang w:val="en-US" w:eastAsia="zh-CN" w:bidi="ar-SA"/>
    </w:rPr>
  </w:style>
  <w:style w:type="paragraph" w:customStyle="1" w:styleId="548">
    <w:name w:val="正文文本3"/>
    <w:basedOn w:val="1"/>
    <w:link w:val="549"/>
    <w:qFormat/>
    <w:uiPriority w:val="0"/>
    <w:pPr>
      <w:shd w:val="clear" w:color="auto" w:fill="FFFFFF"/>
      <w:spacing w:after="120" w:line="240" w:lineRule="atLeast"/>
      <w:ind w:hanging="1400"/>
      <w:jc w:val="right"/>
    </w:pPr>
    <w:rPr>
      <w:rFonts w:ascii="宋体" w:hAnsi="宋体"/>
      <w:kern w:val="0"/>
      <w:sz w:val="17"/>
      <w:szCs w:val="17"/>
      <w:shd w:val="clear" w:color="auto" w:fill="FFFFFF"/>
    </w:rPr>
  </w:style>
  <w:style w:type="character" w:customStyle="1" w:styleId="549">
    <w:name w:val="正文文本_"/>
    <w:link w:val="548"/>
    <w:qFormat/>
    <w:uiPriority w:val="0"/>
    <w:rPr>
      <w:rFonts w:ascii="宋体" w:hAnsi="宋体" w:cstheme="minorBidi"/>
      <w:sz w:val="17"/>
      <w:szCs w:val="17"/>
      <w:shd w:val="clear" w:color="auto" w:fill="FFFFFF"/>
    </w:rPr>
  </w:style>
  <w:style w:type="paragraph" w:customStyle="1" w:styleId="550">
    <w:name w:val="目录 21"/>
    <w:basedOn w:val="1"/>
    <w:next w:val="1"/>
    <w:unhideWhenUsed/>
    <w:qFormat/>
    <w:uiPriority w:val="39"/>
    <w:pPr>
      <w:ind w:left="210"/>
      <w:jc w:val="left"/>
    </w:pPr>
    <w:rPr>
      <w:rFonts w:ascii="Calibri" w:hAnsi="Calibri"/>
      <w:smallCaps/>
      <w:sz w:val="20"/>
      <w:szCs w:val="20"/>
    </w:rPr>
  </w:style>
  <w:style w:type="paragraph" w:customStyle="1" w:styleId="551">
    <w:name w:val="目录 31"/>
    <w:basedOn w:val="1"/>
    <w:next w:val="1"/>
    <w:unhideWhenUsed/>
    <w:qFormat/>
    <w:uiPriority w:val="39"/>
    <w:pPr>
      <w:jc w:val="left"/>
    </w:pPr>
    <w:rPr>
      <w:rFonts w:ascii="Calibri" w:hAnsi="Calibri"/>
      <w:i/>
      <w:iCs/>
      <w:sz w:val="20"/>
      <w:szCs w:val="20"/>
    </w:rPr>
  </w:style>
  <w:style w:type="paragraph" w:customStyle="1" w:styleId="552">
    <w:name w:val="TBB表内容"/>
    <w:basedOn w:val="82"/>
    <w:link w:val="553"/>
    <w:qFormat/>
    <w:uiPriority w:val="0"/>
    <w:rPr>
      <w:sz w:val="21"/>
    </w:rPr>
  </w:style>
  <w:style w:type="character" w:customStyle="1" w:styleId="553">
    <w:name w:val="TBB表内容 Char"/>
    <w:link w:val="552"/>
    <w:qFormat/>
    <w:uiPriority w:val="0"/>
    <w:rPr>
      <w:rFonts w:ascii="宋体" w:hAnsi="宋体" w:cstheme="minorBidi"/>
      <w:sz w:val="21"/>
      <w:szCs w:val="24"/>
    </w:rPr>
  </w:style>
  <w:style w:type="paragraph" w:customStyle="1" w:styleId="554">
    <w:name w:val="1"/>
    <w:basedOn w:val="1"/>
    <w:qFormat/>
    <w:uiPriority w:val="0"/>
    <w:pPr>
      <w:widowControl/>
      <w:spacing w:before="100" w:beforeAutospacing="1" w:after="100" w:afterAutospacing="1"/>
      <w:jc w:val="left"/>
    </w:pPr>
    <w:rPr>
      <w:rFonts w:ascii="宋体" w:hAnsi="宋体" w:cs="宋体"/>
      <w:kern w:val="0"/>
    </w:rPr>
  </w:style>
  <w:style w:type="paragraph" w:customStyle="1" w:styleId="555">
    <w:name w:val="普通(网站)2"/>
    <w:basedOn w:val="1"/>
    <w:qFormat/>
    <w:uiPriority w:val="0"/>
    <w:pPr>
      <w:widowControl/>
      <w:spacing w:before="100" w:beforeAutospacing="1" w:after="100" w:afterAutospacing="1"/>
      <w:jc w:val="left"/>
    </w:pPr>
    <w:rPr>
      <w:rFonts w:ascii="宋体" w:hAnsi="宋体" w:cs="宋体"/>
      <w:color w:val="595959"/>
      <w:kern w:val="0"/>
    </w:rPr>
  </w:style>
  <w:style w:type="paragraph" w:customStyle="1" w:styleId="556">
    <w:name w:val="Char Char Char Char Char Char Char Char Char Char Char Char Char"/>
    <w:basedOn w:val="1"/>
    <w:qFormat/>
    <w:uiPriority w:val="0"/>
    <w:pPr>
      <w:tabs>
        <w:tab w:val="left" w:pos="432"/>
      </w:tabs>
      <w:ind w:left="432" w:hanging="432"/>
    </w:pPr>
    <w:rPr>
      <w:rFonts w:ascii="Tahoma" w:hAnsi="Tahoma"/>
      <w:szCs w:val="20"/>
    </w:rPr>
  </w:style>
  <w:style w:type="paragraph" w:customStyle="1" w:styleId="557">
    <w:name w:val="TBB一级"/>
    <w:basedOn w:val="1"/>
    <w:link w:val="558"/>
    <w:qFormat/>
    <w:uiPriority w:val="0"/>
    <w:pPr>
      <w:widowControl/>
      <w:shd w:val="clear" w:color="auto" w:fill="FFFFFF"/>
      <w:spacing w:beforeLines="50" w:afterLines="50"/>
      <w:jc w:val="center"/>
      <w:outlineLvl w:val="0"/>
    </w:pPr>
    <w:rPr>
      <w:rFonts w:ascii="宋体" w:hAnsi="宋体"/>
      <w:b/>
      <w:bCs/>
      <w:kern w:val="0"/>
      <w:sz w:val="44"/>
      <w:szCs w:val="21"/>
    </w:rPr>
  </w:style>
  <w:style w:type="character" w:customStyle="1" w:styleId="558">
    <w:name w:val="TBB一级 Char"/>
    <w:link w:val="557"/>
    <w:qFormat/>
    <w:uiPriority w:val="0"/>
    <w:rPr>
      <w:rFonts w:ascii="宋体" w:hAnsi="宋体" w:cstheme="minorBidi"/>
      <w:b/>
      <w:bCs/>
      <w:sz w:val="44"/>
      <w:szCs w:val="21"/>
      <w:shd w:val="clear" w:color="auto" w:fill="FFFFFF"/>
    </w:rPr>
  </w:style>
  <w:style w:type="paragraph" w:customStyle="1" w:styleId="559">
    <w:name w:val="正文2"/>
    <w:basedOn w:val="1"/>
    <w:link w:val="560"/>
    <w:qFormat/>
    <w:uiPriority w:val="0"/>
    <w:pPr>
      <w:adjustRightInd w:val="0"/>
      <w:spacing w:line="360" w:lineRule="auto"/>
      <w:ind w:firstLine="480" w:firstLineChars="200"/>
    </w:pPr>
    <w:rPr>
      <w:rFonts w:ascii="宋体" w:hAnsi="宋体"/>
      <w:color w:val="000000"/>
      <w:sz w:val="24"/>
      <w:szCs w:val="20"/>
    </w:rPr>
  </w:style>
  <w:style w:type="character" w:customStyle="1" w:styleId="560">
    <w:name w:val="正文2 Char"/>
    <w:link w:val="559"/>
    <w:qFormat/>
    <w:uiPriority w:val="0"/>
    <w:rPr>
      <w:rFonts w:ascii="宋体" w:hAnsi="宋体" w:cstheme="minorBidi"/>
      <w:color w:val="000000"/>
      <w:kern w:val="2"/>
      <w:sz w:val="24"/>
    </w:rPr>
  </w:style>
  <w:style w:type="paragraph" w:customStyle="1" w:styleId="561">
    <w:name w:val="TBB二级"/>
    <w:basedOn w:val="1"/>
    <w:link w:val="562"/>
    <w:qFormat/>
    <w:uiPriority w:val="0"/>
    <w:pPr>
      <w:widowControl/>
      <w:shd w:val="clear" w:color="auto" w:fill="FFFFFF"/>
      <w:spacing w:line="300" w:lineRule="auto"/>
      <w:jc w:val="left"/>
    </w:pPr>
    <w:rPr>
      <w:rFonts w:ascii="宋体" w:hAnsi="宋体"/>
      <w:b/>
      <w:bCs/>
      <w:color w:val="0070C0"/>
      <w:kern w:val="0"/>
      <w:szCs w:val="21"/>
    </w:rPr>
  </w:style>
  <w:style w:type="character" w:customStyle="1" w:styleId="562">
    <w:name w:val="TBB二级 Char"/>
    <w:link w:val="561"/>
    <w:qFormat/>
    <w:uiPriority w:val="0"/>
    <w:rPr>
      <w:rFonts w:ascii="宋体" w:hAnsi="宋体" w:cstheme="minorBidi"/>
      <w:b/>
      <w:bCs/>
      <w:color w:val="0070C0"/>
      <w:sz w:val="21"/>
      <w:szCs w:val="21"/>
      <w:shd w:val="clear" w:color="auto" w:fill="FFFFFF"/>
    </w:rPr>
  </w:style>
  <w:style w:type="paragraph" w:customStyle="1" w:styleId="563">
    <w:name w:val="TBB二"/>
    <w:basedOn w:val="561"/>
    <w:next w:val="561"/>
    <w:link w:val="564"/>
    <w:qFormat/>
    <w:uiPriority w:val="0"/>
  </w:style>
  <w:style w:type="character" w:customStyle="1" w:styleId="564">
    <w:name w:val="TBB二 Char"/>
    <w:link w:val="563"/>
    <w:qFormat/>
    <w:uiPriority w:val="0"/>
    <w:rPr>
      <w:rFonts w:ascii="宋体" w:hAnsi="宋体" w:cstheme="minorBidi"/>
      <w:b/>
      <w:bCs/>
      <w:color w:val="0070C0"/>
      <w:sz w:val="21"/>
      <w:szCs w:val="21"/>
      <w:shd w:val="clear" w:color="auto" w:fill="FFFFFF"/>
    </w:rPr>
  </w:style>
  <w:style w:type="paragraph" w:customStyle="1" w:styleId="565">
    <w:name w:val="TBB正文"/>
    <w:basedOn w:val="447"/>
    <w:link w:val="566"/>
    <w:qFormat/>
    <w:uiPriority w:val="0"/>
    <w:rPr>
      <w:rFonts w:ascii="宋体" w:hAnsi="宋体"/>
      <w:sz w:val="21"/>
      <w:szCs w:val="21"/>
    </w:rPr>
  </w:style>
  <w:style w:type="character" w:customStyle="1" w:styleId="566">
    <w:name w:val="TBB正文 Char"/>
    <w:link w:val="565"/>
    <w:qFormat/>
    <w:uiPriority w:val="0"/>
    <w:rPr>
      <w:rFonts w:ascii="宋体" w:hAnsi="宋体" w:cstheme="minorBidi"/>
      <w:color w:val="000000"/>
      <w:kern w:val="2"/>
      <w:sz w:val="21"/>
      <w:szCs w:val="21"/>
    </w:rPr>
  </w:style>
  <w:style w:type="paragraph" w:customStyle="1" w:styleId="567">
    <w:name w:val="TBB四级"/>
    <w:basedOn w:val="1"/>
    <w:link w:val="568"/>
    <w:qFormat/>
    <w:uiPriority w:val="0"/>
    <w:pPr>
      <w:widowControl/>
      <w:shd w:val="clear" w:color="auto" w:fill="FFFFFF"/>
      <w:spacing w:line="300" w:lineRule="auto"/>
      <w:ind w:firstLine="200" w:firstLineChars="200"/>
      <w:jc w:val="left"/>
      <w:outlineLvl w:val="3"/>
    </w:pPr>
    <w:rPr>
      <w:rFonts w:ascii="宋体" w:hAnsi="宋体"/>
      <w:b/>
      <w:kern w:val="0"/>
      <w:szCs w:val="21"/>
    </w:rPr>
  </w:style>
  <w:style w:type="character" w:customStyle="1" w:styleId="568">
    <w:name w:val="TBB四级 Char"/>
    <w:link w:val="567"/>
    <w:qFormat/>
    <w:uiPriority w:val="0"/>
    <w:rPr>
      <w:rFonts w:ascii="宋体" w:hAnsi="宋体" w:cstheme="minorBidi"/>
      <w:b/>
      <w:sz w:val="21"/>
      <w:szCs w:val="21"/>
      <w:shd w:val="clear" w:color="auto" w:fill="FFFFFF"/>
    </w:rPr>
  </w:style>
  <w:style w:type="paragraph" w:customStyle="1" w:styleId="569">
    <w:name w:val="TBB六级"/>
    <w:basedOn w:val="1"/>
    <w:link w:val="570"/>
    <w:qFormat/>
    <w:uiPriority w:val="0"/>
    <w:pPr>
      <w:keepNext/>
      <w:keepLines/>
      <w:spacing w:line="300" w:lineRule="auto"/>
      <w:ind w:firstLine="200" w:firstLineChars="200"/>
      <w:jc w:val="left"/>
      <w:outlineLvl w:val="5"/>
    </w:pPr>
    <w:rPr>
      <w:rFonts w:ascii="宋体" w:hAnsi="宋体"/>
      <w:b/>
      <w:bCs/>
      <w:szCs w:val="21"/>
    </w:rPr>
  </w:style>
  <w:style w:type="character" w:customStyle="1" w:styleId="570">
    <w:name w:val="TBB六级 Char"/>
    <w:link w:val="569"/>
    <w:qFormat/>
    <w:uiPriority w:val="0"/>
    <w:rPr>
      <w:rFonts w:ascii="宋体" w:hAnsi="宋体" w:cstheme="minorBidi"/>
      <w:b/>
      <w:bCs/>
      <w:kern w:val="2"/>
      <w:sz w:val="21"/>
      <w:szCs w:val="21"/>
    </w:rPr>
  </w:style>
  <w:style w:type="paragraph" w:customStyle="1" w:styleId="571">
    <w:name w:val="TBB表第一行"/>
    <w:basedOn w:val="82"/>
    <w:link w:val="572"/>
    <w:qFormat/>
    <w:uiPriority w:val="0"/>
    <w:rPr>
      <w:sz w:val="21"/>
    </w:rPr>
  </w:style>
  <w:style w:type="character" w:customStyle="1" w:styleId="572">
    <w:name w:val="TBB表第一行 Char"/>
    <w:link w:val="571"/>
    <w:qFormat/>
    <w:uiPriority w:val="0"/>
    <w:rPr>
      <w:rFonts w:ascii="宋体" w:hAnsi="宋体" w:cstheme="minorBidi"/>
      <w:sz w:val="21"/>
      <w:szCs w:val="24"/>
    </w:rPr>
  </w:style>
  <w:style w:type="paragraph" w:customStyle="1" w:styleId="573">
    <w:name w:val="TBB五级"/>
    <w:basedOn w:val="569"/>
    <w:link w:val="574"/>
    <w:qFormat/>
    <w:uiPriority w:val="0"/>
  </w:style>
  <w:style w:type="character" w:customStyle="1" w:styleId="574">
    <w:name w:val="TBB五级 Char"/>
    <w:link w:val="573"/>
    <w:qFormat/>
    <w:uiPriority w:val="0"/>
    <w:rPr>
      <w:rFonts w:ascii="宋体" w:hAnsi="宋体" w:cstheme="minorBidi"/>
      <w:b/>
      <w:bCs/>
      <w:kern w:val="2"/>
      <w:sz w:val="21"/>
      <w:szCs w:val="21"/>
    </w:rPr>
  </w:style>
  <w:style w:type="paragraph" w:customStyle="1" w:styleId="575">
    <w:name w:val="目录 41"/>
    <w:basedOn w:val="1"/>
    <w:next w:val="1"/>
    <w:unhideWhenUsed/>
    <w:qFormat/>
    <w:uiPriority w:val="39"/>
    <w:pPr>
      <w:ind w:left="630"/>
      <w:jc w:val="left"/>
    </w:pPr>
    <w:rPr>
      <w:rFonts w:ascii="Calibri" w:hAnsi="Calibri"/>
      <w:sz w:val="18"/>
      <w:szCs w:val="18"/>
    </w:rPr>
  </w:style>
  <w:style w:type="paragraph" w:customStyle="1" w:styleId="576">
    <w:name w:val="目录 91"/>
    <w:basedOn w:val="1"/>
    <w:next w:val="1"/>
    <w:unhideWhenUsed/>
    <w:qFormat/>
    <w:uiPriority w:val="39"/>
    <w:pPr>
      <w:ind w:left="1680"/>
      <w:jc w:val="left"/>
    </w:pPr>
    <w:rPr>
      <w:rFonts w:ascii="Calibri" w:hAnsi="Calibri"/>
      <w:sz w:val="18"/>
      <w:szCs w:val="18"/>
    </w:rPr>
  </w:style>
  <w:style w:type="paragraph" w:customStyle="1" w:styleId="577">
    <w:name w:val="列出段落31"/>
    <w:basedOn w:val="1"/>
    <w:qFormat/>
    <w:uiPriority w:val="0"/>
    <w:pPr>
      <w:ind w:firstLine="420" w:firstLineChars="200"/>
    </w:pPr>
    <w:rPr>
      <w:rFonts w:ascii="Calibri" w:hAnsi="Calibri"/>
    </w:rPr>
  </w:style>
  <w:style w:type="paragraph" w:customStyle="1" w:styleId="578">
    <w:name w:val="List Paragraph1"/>
    <w:basedOn w:val="1"/>
    <w:qFormat/>
    <w:uiPriority w:val="99"/>
    <w:pPr>
      <w:ind w:firstLine="420" w:firstLineChars="200"/>
    </w:pPr>
    <w:rPr>
      <w:rFonts w:ascii="Calibri" w:hAnsi="Calibri" w:cs="Calibri"/>
      <w:szCs w:val="21"/>
    </w:rPr>
  </w:style>
  <w:style w:type="paragraph" w:customStyle="1" w:styleId="579">
    <w:name w:val="Indent 12"/>
    <w:basedOn w:val="1"/>
    <w:qFormat/>
    <w:uiPriority w:val="0"/>
    <w:pPr>
      <w:widowControl/>
      <w:ind w:left="1304"/>
      <w:jc w:val="left"/>
    </w:pPr>
    <w:rPr>
      <w:rFonts w:ascii="Arial" w:hAnsi="Arial"/>
      <w:kern w:val="0"/>
      <w:sz w:val="24"/>
      <w:szCs w:val="20"/>
      <w:lang w:eastAsia="en-US"/>
    </w:rPr>
  </w:style>
  <w:style w:type="paragraph" w:customStyle="1" w:styleId="580">
    <w:name w:val="Normal1"/>
    <w:qFormat/>
    <w:uiPriority w:val="0"/>
    <w:pPr>
      <w:widowControl w:val="0"/>
      <w:adjustRightInd w:val="0"/>
      <w:spacing w:line="360" w:lineRule="atLeast"/>
      <w:textAlignment w:val="baseline"/>
    </w:pPr>
    <w:rPr>
      <w:rFonts w:ascii="MingLiU" w:hAnsi="Times New Roman" w:eastAsia="MingLiU" w:cs="Times New Roman"/>
      <w:sz w:val="24"/>
      <w:lang w:val="en-US" w:eastAsia="zh-TW" w:bidi="ar-SA"/>
    </w:rPr>
  </w:style>
  <w:style w:type="character" w:customStyle="1" w:styleId="581">
    <w:name w:val="表格内容陈 Char Char"/>
    <w:link w:val="582"/>
    <w:qFormat/>
    <w:uiPriority w:val="0"/>
    <w:rPr>
      <w:rFonts w:cs="宋体"/>
      <w:color w:val="000000"/>
      <w:sz w:val="21"/>
      <w:szCs w:val="21"/>
    </w:rPr>
  </w:style>
  <w:style w:type="paragraph" w:customStyle="1" w:styleId="582">
    <w:name w:val="表格内容陈"/>
    <w:basedOn w:val="1"/>
    <w:link w:val="581"/>
    <w:qFormat/>
    <w:uiPriority w:val="0"/>
    <w:pPr>
      <w:widowControl/>
      <w:adjustRightInd w:val="0"/>
      <w:snapToGrid w:val="0"/>
      <w:spacing w:line="360" w:lineRule="exact"/>
      <w:jc w:val="left"/>
    </w:pPr>
    <w:rPr>
      <w:rFonts w:cs="宋体"/>
      <w:color w:val="000000"/>
      <w:kern w:val="0"/>
      <w:szCs w:val="21"/>
    </w:rPr>
  </w:style>
  <w:style w:type="paragraph" w:customStyle="1" w:styleId="583">
    <w:name w:val="前言大标题"/>
    <w:basedOn w:val="5"/>
    <w:qFormat/>
    <w:uiPriority w:val="0"/>
    <w:pPr>
      <w:tabs>
        <w:tab w:val="clear" w:pos="2195"/>
        <w:tab w:val="clear" w:pos="5964"/>
        <w:tab w:val="clear" w:pos="7489"/>
        <w:tab w:val="clear" w:pos="9559"/>
      </w:tabs>
      <w:spacing w:after="680" w:line="283" w:lineRule="auto"/>
      <w:ind w:firstLine="200" w:firstLineChars="200"/>
      <w:outlineLvl w:val="9"/>
    </w:pPr>
    <w:rPr>
      <w:rFonts w:eastAsia="黑体"/>
      <w:b w:val="0"/>
      <w:sz w:val="32"/>
    </w:rPr>
  </w:style>
  <w:style w:type="paragraph" w:customStyle="1" w:styleId="584">
    <w:name w:val="XN表内容"/>
    <w:basedOn w:val="1"/>
    <w:qFormat/>
    <w:uiPriority w:val="0"/>
    <w:pPr>
      <w:spacing w:line="264" w:lineRule="auto"/>
      <w:jc w:val="center"/>
    </w:pPr>
    <w:rPr>
      <w:rFonts w:ascii="仿宋" w:hAnsi="仿宋"/>
      <w:color w:val="000000"/>
    </w:rPr>
  </w:style>
  <w:style w:type="character" w:customStyle="1" w:styleId="585">
    <w:name w:val="hei141"/>
    <w:qFormat/>
    <w:uiPriority w:val="0"/>
    <w:rPr>
      <w:rFonts w:hint="eastAsia" w:ascii="宋体" w:hAnsi="宋体" w:eastAsia="宋体"/>
      <w:color w:val="000000"/>
      <w:sz w:val="21"/>
      <w:szCs w:val="21"/>
      <w:u w:val="none"/>
    </w:rPr>
  </w:style>
  <w:style w:type="paragraph" w:customStyle="1" w:styleId="586">
    <w:name w:val="WPSOffice手动目录 1"/>
    <w:qFormat/>
    <w:uiPriority w:val="0"/>
    <w:rPr>
      <w:rFonts w:ascii="Times New Roman" w:hAnsi="Times New Roman" w:eastAsia="宋体" w:cs="Times New Roman"/>
      <w:lang w:val="en-US" w:eastAsia="zh-CN" w:bidi="ar-SA"/>
    </w:rPr>
  </w:style>
  <w:style w:type="paragraph" w:customStyle="1" w:styleId="587">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F235C7C2-5716-45D6-9ACD-6EFCDD5CC1E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1372</Words>
  <Characters>1422</Characters>
  <Lines>115</Lines>
  <Paragraphs>32</Paragraphs>
  <TotalTime>9</TotalTime>
  <ScaleCrop>false</ScaleCrop>
  <LinksUpToDate>false</LinksUpToDate>
  <CharactersWithSpaces>1485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2020-04-18T07:17:00Z</dcterms:created>
  <dc:creator>cxm</dc:creator>
  <cp:lastModifiedBy>MOGU</cp:lastModifiedBy>
  <dcterms:modified xsi:type="dcterms:W3CDTF">2026-05-29T00:33:31Z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ABFE7BAAF8BBEFD88199FA698DB82DF5_42</vt:lpwstr>
  </property>
  <property fmtid="{D5CDD505-2E9C-101B-9397-08002B2CF9AE}" pid="4" name="KSOTemplateDocerSaveRecord">
    <vt:lpwstr>eyJoZGlkIjoiZWQyMTQzYmEyNTAxZjk4MjU3NDFmYzkxMjMxOTcwOTEiLCJ1c2VySWQiOiIzNzcxMDkzNTMifQ==</vt:lpwstr>
  </property>
</Properties>
</file>